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sz w:val="32"/>
          <w:szCs w:val="32"/>
        </w:rPr>
        <w:sectPr>
          <w:headerReference r:id="rId3" w:type="default"/>
          <w:headerReference r:id="rId4" w:type="even"/>
          <w:pgSz w:w="11906" w:h="16838"/>
          <w:pgMar w:top="1440" w:right="1800" w:bottom="1440" w:left="1800" w:header="851" w:footer="992" w:gutter="0"/>
          <w:pgNumType w:start="1"/>
          <w:cols w:space="425" w:num="1"/>
          <w:docGrid w:type="lines" w:linePitch="312" w:charSpace="0"/>
        </w:sectPr>
      </w:pPr>
      <w:r>
        <w:pict>
          <v:shape id="_x0000_s1036" o:spid="_x0000_s1036" o:spt="75" type="#_x0000_t75" style="position:absolute;left:0pt;margin-left:-89.45pt;margin-top:-71.95pt;height:840.65pt;width:594.5pt;z-index:251680768;mso-width-relative:page;mso-height-relative:page;" filled="f" o:preferrelative="t" stroked="f" coordsize="21600,21600">
            <v:path/>
            <v:fill on="f" focussize="0,0"/>
            <v:stroke on="f" joinstyle="miter"/>
            <v:imagedata r:id="rId18" o:title="报告封面"/>
            <o:lock v:ext="edit" aspectratio="t"/>
          </v:shape>
        </w:pict>
      </w:r>
    </w:p>
    <w:p>
      <w:pPr>
        <w:widowControl/>
        <w:snapToGrid w:val="0"/>
        <w:spacing w:line="520" w:lineRule="exact"/>
        <w:rPr>
          <w:rFonts w:ascii="仿宋_GB2312" w:hAnsi="Cambria" w:eastAsia="仿宋_GB2312"/>
          <w:sz w:val="32"/>
          <w:szCs w:val="32"/>
        </w:rPr>
      </w:pPr>
      <w:r>
        <w:pict>
          <v:shape id="_x0000_s1039" o:spid="_x0000_s1039" o:spt="75" type="#_x0000_t75" style="position:absolute;left:0pt;margin-left:-90pt;margin-top:-71pt;height:839.65pt;width:594pt;z-index:251682816;mso-width-relative:page;mso-height-relative:page;" filled="f" o:preferrelative="t" stroked="f" coordsize="21600,21600">
            <v:path/>
            <v:fill on="f" focussize="0,0"/>
            <v:stroke on="f" joinstyle="miter"/>
            <v:imagedata r:id="rId19" o:title="Scan2019-12-27_103725_00"/>
            <o:lock v:ext="edit" aspectratio="t"/>
          </v:shape>
        </w:pict>
      </w:r>
    </w:p>
    <w:p>
      <w:pPr>
        <w:pStyle w:val="19"/>
        <w:jc w:val="center"/>
        <w:rPr>
          <w:rFonts w:asciiTheme="minorHAnsi" w:hAnsiTheme="minorHAnsi" w:eastAsiaTheme="minorEastAsia" w:cstheme="minorBidi"/>
          <w:color w:val="auto"/>
          <w:kern w:val="2"/>
          <w:sz w:val="21"/>
          <w:szCs w:val="22"/>
          <w:lang w:val="zh-CN"/>
        </w:rPr>
        <w:sectPr>
          <w:footerReference r:id="rId5" w:type="default"/>
          <w:footerReference r:id="rId6" w:type="even"/>
          <w:pgSz w:w="11906" w:h="16838"/>
          <w:pgMar w:top="1440" w:right="1800" w:bottom="1440" w:left="1800" w:header="851" w:footer="992" w:gutter="0"/>
          <w:pgNumType w:start="1"/>
          <w:cols w:space="425" w:num="1"/>
          <w:docGrid w:type="lines" w:linePitch="312" w:charSpace="0"/>
        </w:sectPr>
      </w:pPr>
    </w:p>
    <w:sdt>
      <w:sdtPr>
        <w:rPr>
          <w:rFonts w:asciiTheme="minorHAnsi" w:hAnsiTheme="minorHAnsi" w:eastAsiaTheme="minorEastAsia" w:cstheme="minorBidi"/>
          <w:color w:val="auto"/>
          <w:kern w:val="2"/>
          <w:sz w:val="21"/>
          <w:szCs w:val="22"/>
          <w:lang w:val="zh-CN"/>
        </w:rPr>
        <w:id w:val="-448555911"/>
      </w:sdtPr>
      <w:sdtEndPr>
        <w:rPr>
          <w:rFonts w:asciiTheme="minorHAnsi" w:hAnsiTheme="minorHAnsi" w:eastAsiaTheme="minorEastAsia" w:cstheme="minorBidi"/>
          <w:b/>
          <w:bCs/>
          <w:color w:val="auto"/>
          <w:kern w:val="2"/>
          <w:sz w:val="21"/>
          <w:szCs w:val="22"/>
          <w:lang w:val="zh-CN"/>
        </w:rPr>
      </w:sdtEndPr>
      <w:sdtContent>
        <w:p>
          <w:pPr>
            <w:pStyle w:val="19"/>
            <w:jc w:val="center"/>
            <w:rPr>
              <w:rFonts w:ascii="方正小标宋简体" w:hAnsi="方正小标宋简体" w:eastAsia="方正小标宋简体" w:cs="方正小标宋简体"/>
              <w:color w:val="auto"/>
              <w:kern w:val="2"/>
              <w:sz w:val="44"/>
              <w:szCs w:val="44"/>
              <w:lang w:val="zh-CN"/>
            </w:rPr>
          </w:pPr>
          <w:r>
            <w:rPr>
              <w:rFonts w:hint="eastAsia" w:ascii="方正小标宋简体" w:hAnsi="方正小标宋简体" w:eastAsia="方正小标宋简体" w:cs="方正小标宋简体"/>
              <w:color w:val="auto"/>
              <w:kern w:val="2"/>
              <w:sz w:val="44"/>
              <w:szCs w:val="44"/>
            </w:rPr>
            <w:t>目 录</w:t>
          </w:r>
        </w:p>
        <w:p>
          <w:pPr>
            <w:pStyle w:val="8"/>
            <w:tabs>
              <w:tab w:val="right" w:leader="dot" w:pos="8306"/>
            </w:tabs>
            <w:rPr>
              <w:sz w:val="24"/>
              <w:szCs w:val="24"/>
            </w:rPr>
          </w:pPr>
          <w:r>
            <w:rPr>
              <w:sz w:val="24"/>
              <w:szCs w:val="24"/>
            </w:rPr>
            <w:fldChar w:fldCharType="begin"/>
          </w:r>
          <w:r>
            <w:rPr>
              <w:sz w:val="24"/>
              <w:szCs w:val="24"/>
            </w:rPr>
            <w:instrText xml:space="preserve">TOC \o "1-3" \h \u </w:instrText>
          </w:r>
          <w:r>
            <w:rPr>
              <w:sz w:val="24"/>
              <w:szCs w:val="24"/>
            </w:rPr>
            <w:fldChar w:fldCharType="separate"/>
          </w:r>
          <w:r>
            <w:fldChar w:fldCharType="begin"/>
          </w:r>
          <w:r>
            <w:instrText xml:space="preserve"> HYPERLINK \l "_Toc23510" </w:instrText>
          </w:r>
          <w:r>
            <w:fldChar w:fldCharType="separate"/>
          </w:r>
          <w:r>
            <w:rPr>
              <w:rFonts w:hint="eastAsia"/>
              <w:sz w:val="24"/>
              <w:szCs w:val="24"/>
            </w:rPr>
            <w:t>前 言</w:t>
          </w:r>
          <w:r>
            <w:rPr>
              <w:sz w:val="24"/>
              <w:szCs w:val="24"/>
            </w:rPr>
            <w:tab/>
          </w:r>
          <w:r>
            <w:rPr>
              <w:sz w:val="24"/>
              <w:szCs w:val="24"/>
            </w:rPr>
            <w:t>1</w:t>
          </w:r>
          <w:r>
            <w:rPr>
              <w:sz w:val="24"/>
              <w:szCs w:val="24"/>
            </w:rPr>
            <w:fldChar w:fldCharType="end"/>
          </w:r>
        </w:p>
        <w:p>
          <w:pPr>
            <w:pStyle w:val="8"/>
            <w:tabs>
              <w:tab w:val="right" w:leader="dot" w:pos="8306"/>
            </w:tabs>
            <w:rPr>
              <w:sz w:val="24"/>
              <w:szCs w:val="24"/>
            </w:rPr>
          </w:pPr>
          <w:r>
            <w:fldChar w:fldCharType="begin"/>
          </w:r>
          <w:r>
            <w:instrText xml:space="preserve"> HYPERLINK \l "_Toc12817" </w:instrText>
          </w:r>
          <w:r>
            <w:fldChar w:fldCharType="separate"/>
          </w:r>
          <w:r>
            <w:rPr>
              <w:rFonts w:hint="eastAsia"/>
              <w:sz w:val="24"/>
              <w:szCs w:val="24"/>
            </w:rPr>
            <w:t>1</w:t>
          </w:r>
          <w:r>
            <w:rPr>
              <w:sz w:val="24"/>
              <w:szCs w:val="24"/>
            </w:rPr>
            <w:t xml:space="preserve"> </w:t>
          </w:r>
          <w:r>
            <w:rPr>
              <w:rFonts w:hint="eastAsia"/>
              <w:sz w:val="24"/>
              <w:szCs w:val="24"/>
            </w:rPr>
            <w:t>学生发展</w:t>
          </w:r>
          <w:r>
            <w:rPr>
              <w:sz w:val="24"/>
              <w:szCs w:val="24"/>
            </w:rPr>
            <w:tab/>
          </w:r>
          <w:r>
            <w:rPr>
              <w:sz w:val="24"/>
              <w:szCs w:val="24"/>
            </w:rPr>
            <w:t>2</w:t>
          </w:r>
          <w:r>
            <w:rPr>
              <w:sz w:val="24"/>
              <w:szCs w:val="24"/>
            </w:rPr>
            <w:fldChar w:fldCharType="end"/>
          </w:r>
        </w:p>
        <w:p>
          <w:pPr>
            <w:pStyle w:val="9"/>
            <w:tabs>
              <w:tab w:val="right" w:leader="dot" w:pos="8306"/>
            </w:tabs>
            <w:rPr>
              <w:sz w:val="24"/>
              <w:szCs w:val="24"/>
            </w:rPr>
          </w:pPr>
          <w:r>
            <w:fldChar w:fldCharType="begin"/>
          </w:r>
          <w:r>
            <w:instrText xml:space="preserve"> HYPERLINK \l "_Toc7307" </w:instrText>
          </w:r>
          <w:r>
            <w:fldChar w:fldCharType="separate"/>
          </w:r>
          <w:r>
            <w:rPr>
              <w:rFonts w:hint="eastAsia"/>
              <w:sz w:val="24"/>
              <w:szCs w:val="24"/>
            </w:rPr>
            <w:t>1.1 立德树人</w:t>
          </w:r>
          <w:r>
            <w:rPr>
              <w:sz w:val="24"/>
              <w:szCs w:val="24"/>
            </w:rPr>
            <w:tab/>
          </w:r>
          <w:r>
            <w:rPr>
              <w:sz w:val="24"/>
              <w:szCs w:val="24"/>
            </w:rPr>
            <w:t>2</w:t>
          </w:r>
          <w:r>
            <w:rPr>
              <w:sz w:val="24"/>
              <w:szCs w:val="24"/>
            </w:rPr>
            <w:fldChar w:fldCharType="end"/>
          </w:r>
        </w:p>
        <w:p>
          <w:pPr>
            <w:pStyle w:val="9"/>
            <w:tabs>
              <w:tab w:val="right" w:leader="dot" w:pos="8306"/>
            </w:tabs>
            <w:rPr>
              <w:sz w:val="24"/>
              <w:szCs w:val="24"/>
            </w:rPr>
          </w:pPr>
          <w:r>
            <w:fldChar w:fldCharType="begin"/>
          </w:r>
          <w:r>
            <w:instrText xml:space="preserve"> HYPERLINK \l "_Toc11788" </w:instrText>
          </w:r>
          <w:r>
            <w:fldChar w:fldCharType="separate"/>
          </w:r>
          <w:r>
            <w:rPr>
              <w:rFonts w:hint="eastAsia"/>
              <w:sz w:val="24"/>
              <w:szCs w:val="24"/>
            </w:rPr>
            <w:t>1.2</w:t>
          </w:r>
          <w:r>
            <w:rPr>
              <w:sz w:val="24"/>
              <w:szCs w:val="24"/>
            </w:rPr>
            <w:t xml:space="preserve"> </w:t>
          </w:r>
          <w:r>
            <w:rPr>
              <w:rFonts w:hint="eastAsia"/>
              <w:sz w:val="24"/>
              <w:szCs w:val="24"/>
            </w:rPr>
            <w:t>就业质量</w:t>
          </w:r>
          <w:r>
            <w:rPr>
              <w:sz w:val="24"/>
              <w:szCs w:val="24"/>
            </w:rPr>
            <w:tab/>
          </w:r>
          <w:r>
            <w:rPr>
              <w:sz w:val="24"/>
              <w:szCs w:val="24"/>
            </w:rPr>
            <w:t>6</w:t>
          </w:r>
          <w:r>
            <w:rPr>
              <w:sz w:val="24"/>
              <w:szCs w:val="24"/>
            </w:rPr>
            <w:fldChar w:fldCharType="end"/>
          </w:r>
        </w:p>
        <w:p>
          <w:pPr>
            <w:pStyle w:val="9"/>
            <w:tabs>
              <w:tab w:val="right" w:leader="dot" w:pos="8306"/>
            </w:tabs>
            <w:rPr>
              <w:sz w:val="24"/>
              <w:szCs w:val="24"/>
            </w:rPr>
          </w:pPr>
          <w:r>
            <w:fldChar w:fldCharType="begin"/>
          </w:r>
          <w:r>
            <w:instrText xml:space="preserve"> HYPERLINK \l "_Toc32111" </w:instrText>
          </w:r>
          <w:r>
            <w:fldChar w:fldCharType="separate"/>
          </w:r>
          <w:r>
            <w:rPr>
              <w:rFonts w:hint="eastAsia"/>
              <w:sz w:val="24"/>
              <w:szCs w:val="24"/>
            </w:rPr>
            <w:t>1.3</w:t>
          </w:r>
          <w:r>
            <w:rPr>
              <w:sz w:val="24"/>
              <w:szCs w:val="24"/>
            </w:rPr>
            <w:t xml:space="preserve"> </w:t>
          </w:r>
          <w:r>
            <w:rPr>
              <w:rFonts w:hint="eastAsia"/>
              <w:sz w:val="24"/>
              <w:szCs w:val="24"/>
            </w:rPr>
            <w:t>招生情况</w:t>
          </w:r>
          <w:r>
            <w:rPr>
              <w:sz w:val="24"/>
              <w:szCs w:val="24"/>
            </w:rPr>
            <w:tab/>
          </w:r>
          <w:r>
            <w:rPr>
              <w:sz w:val="24"/>
              <w:szCs w:val="24"/>
            </w:rPr>
            <w:t>9</w:t>
          </w:r>
          <w:r>
            <w:rPr>
              <w:sz w:val="24"/>
              <w:szCs w:val="24"/>
            </w:rPr>
            <w:fldChar w:fldCharType="end"/>
          </w:r>
        </w:p>
        <w:p>
          <w:pPr>
            <w:pStyle w:val="9"/>
            <w:tabs>
              <w:tab w:val="right" w:leader="dot" w:pos="8306"/>
            </w:tabs>
            <w:rPr>
              <w:sz w:val="24"/>
              <w:szCs w:val="24"/>
            </w:rPr>
          </w:pPr>
          <w:r>
            <w:fldChar w:fldCharType="begin"/>
          </w:r>
          <w:r>
            <w:instrText xml:space="preserve"> HYPERLINK \l "_Toc24450" </w:instrText>
          </w:r>
          <w:r>
            <w:fldChar w:fldCharType="separate"/>
          </w:r>
          <w:r>
            <w:rPr>
              <w:rFonts w:hint="eastAsia"/>
              <w:sz w:val="24"/>
              <w:szCs w:val="24"/>
            </w:rPr>
            <w:t>1.4</w:t>
          </w:r>
          <w:r>
            <w:rPr>
              <w:sz w:val="24"/>
              <w:szCs w:val="24"/>
            </w:rPr>
            <w:t xml:space="preserve"> </w:t>
          </w:r>
          <w:r>
            <w:rPr>
              <w:rFonts w:hint="eastAsia"/>
              <w:sz w:val="24"/>
              <w:szCs w:val="24"/>
            </w:rPr>
            <w:t>在校体验</w:t>
          </w:r>
          <w:r>
            <w:rPr>
              <w:sz w:val="24"/>
              <w:szCs w:val="24"/>
            </w:rPr>
            <w:tab/>
          </w:r>
          <w:r>
            <w:rPr>
              <w:sz w:val="24"/>
              <w:szCs w:val="24"/>
            </w:rPr>
            <w:fldChar w:fldCharType="begin"/>
          </w:r>
          <w:r>
            <w:rPr>
              <w:sz w:val="24"/>
              <w:szCs w:val="24"/>
            </w:rPr>
            <w:instrText xml:space="preserve"> PAGEREF _Toc24450 </w:instrText>
          </w:r>
          <w:r>
            <w:rPr>
              <w:sz w:val="24"/>
              <w:szCs w:val="24"/>
            </w:rPr>
            <w:fldChar w:fldCharType="separate"/>
          </w:r>
          <w:r>
            <w:rPr>
              <w:sz w:val="24"/>
              <w:szCs w:val="24"/>
            </w:rPr>
            <w:t>11</w:t>
          </w:r>
          <w:r>
            <w:rPr>
              <w:sz w:val="24"/>
              <w:szCs w:val="24"/>
            </w:rPr>
            <w:fldChar w:fldCharType="end"/>
          </w:r>
          <w:r>
            <w:rPr>
              <w:sz w:val="24"/>
              <w:szCs w:val="24"/>
            </w:rPr>
            <w:fldChar w:fldCharType="end"/>
          </w:r>
        </w:p>
        <w:p>
          <w:pPr>
            <w:pStyle w:val="9"/>
            <w:tabs>
              <w:tab w:val="right" w:leader="dot" w:pos="8306"/>
            </w:tabs>
            <w:rPr>
              <w:sz w:val="24"/>
              <w:szCs w:val="24"/>
            </w:rPr>
          </w:pPr>
          <w:r>
            <w:fldChar w:fldCharType="begin"/>
          </w:r>
          <w:r>
            <w:instrText xml:space="preserve"> HYPERLINK \l "_Toc29890" </w:instrText>
          </w:r>
          <w:r>
            <w:fldChar w:fldCharType="separate"/>
          </w:r>
          <w:r>
            <w:rPr>
              <w:rFonts w:hint="eastAsia"/>
              <w:sz w:val="24"/>
              <w:szCs w:val="24"/>
            </w:rPr>
            <w:t>1.5</w:t>
          </w:r>
          <w:r>
            <w:rPr>
              <w:sz w:val="24"/>
              <w:szCs w:val="24"/>
            </w:rPr>
            <w:t xml:space="preserve"> </w:t>
          </w:r>
          <w:r>
            <w:rPr>
              <w:rFonts w:hint="eastAsia"/>
              <w:sz w:val="24"/>
              <w:szCs w:val="24"/>
            </w:rPr>
            <w:t>职业发展</w:t>
          </w:r>
          <w:r>
            <w:rPr>
              <w:sz w:val="24"/>
              <w:szCs w:val="24"/>
            </w:rPr>
            <w:tab/>
          </w:r>
          <w:r>
            <w:rPr>
              <w:sz w:val="24"/>
              <w:szCs w:val="24"/>
            </w:rPr>
            <w:fldChar w:fldCharType="begin"/>
          </w:r>
          <w:r>
            <w:rPr>
              <w:sz w:val="24"/>
              <w:szCs w:val="24"/>
            </w:rPr>
            <w:instrText xml:space="preserve"> PAGEREF _Toc29890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9"/>
            <w:tabs>
              <w:tab w:val="right" w:leader="dot" w:pos="8306"/>
            </w:tabs>
            <w:rPr>
              <w:sz w:val="24"/>
              <w:szCs w:val="24"/>
            </w:rPr>
          </w:pPr>
          <w:r>
            <w:fldChar w:fldCharType="begin"/>
          </w:r>
          <w:r>
            <w:instrText xml:space="preserve"> HYPERLINK \l "_Toc15883" </w:instrText>
          </w:r>
          <w:r>
            <w:fldChar w:fldCharType="separate"/>
          </w:r>
          <w:r>
            <w:rPr>
              <w:rFonts w:hint="eastAsia"/>
              <w:sz w:val="24"/>
              <w:szCs w:val="24"/>
            </w:rPr>
            <w:t>1.6</w:t>
          </w:r>
          <w:r>
            <w:rPr>
              <w:sz w:val="24"/>
              <w:szCs w:val="24"/>
            </w:rPr>
            <w:t xml:space="preserve"> </w:t>
          </w:r>
          <w:r>
            <w:rPr>
              <w:rFonts w:hint="eastAsia"/>
              <w:sz w:val="24"/>
              <w:szCs w:val="24"/>
            </w:rPr>
            <w:t>创新创业</w:t>
          </w:r>
          <w:r>
            <w:rPr>
              <w:sz w:val="24"/>
              <w:szCs w:val="24"/>
            </w:rPr>
            <w:tab/>
          </w:r>
          <w:r>
            <w:rPr>
              <w:sz w:val="24"/>
              <w:szCs w:val="24"/>
            </w:rPr>
            <w:t>18</w:t>
          </w:r>
          <w:r>
            <w:rPr>
              <w:sz w:val="24"/>
              <w:szCs w:val="24"/>
            </w:rPr>
            <w:fldChar w:fldCharType="end"/>
          </w:r>
        </w:p>
        <w:p>
          <w:pPr>
            <w:pStyle w:val="9"/>
            <w:tabs>
              <w:tab w:val="right" w:leader="dot" w:pos="8306"/>
            </w:tabs>
            <w:rPr>
              <w:sz w:val="24"/>
              <w:szCs w:val="24"/>
            </w:rPr>
          </w:pPr>
          <w:r>
            <w:fldChar w:fldCharType="begin"/>
          </w:r>
          <w:r>
            <w:instrText xml:space="preserve"> HYPERLINK \l "_Toc21704" </w:instrText>
          </w:r>
          <w:r>
            <w:fldChar w:fldCharType="separate"/>
          </w:r>
          <w:r>
            <w:rPr>
              <w:rFonts w:hint="eastAsia"/>
              <w:sz w:val="24"/>
              <w:szCs w:val="24"/>
            </w:rPr>
            <w:t>1.7</w:t>
          </w:r>
          <w:r>
            <w:rPr>
              <w:sz w:val="24"/>
              <w:szCs w:val="24"/>
            </w:rPr>
            <w:t xml:space="preserve"> </w:t>
          </w:r>
          <w:r>
            <w:rPr>
              <w:rFonts w:hint="eastAsia"/>
              <w:sz w:val="24"/>
              <w:szCs w:val="24"/>
            </w:rPr>
            <w:t>校园文化</w:t>
          </w:r>
          <w:r>
            <w:rPr>
              <w:sz w:val="24"/>
              <w:szCs w:val="24"/>
            </w:rPr>
            <w:tab/>
          </w:r>
          <w:r>
            <w:rPr>
              <w:sz w:val="24"/>
              <w:szCs w:val="24"/>
            </w:rPr>
            <w:fldChar w:fldCharType="begin"/>
          </w:r>
          <w:r>
            <w:rPr>
              <w:sz w:val="24"/>
              <w:szCs w:val="24"/>
            </w:rPr>
            <w:instrText xml:space="preserve"> PAGEREF _Toc21704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9"/>
            <w:tabs>
              <w:tab w:val="right" w:leader="dot" w:pos="8306"/>
            </w:tabs>
            <w:rPr>
              <w:sz w:val="24"/>
              <w:szCs w:val="24"/>
            </w:rPr>
          </w:pPr>
          <w:r>
            <w:fldChar w:fldCharType="begin"/>
          </w:r>
          <w:r>
            <w:instrText xml:space="preserve"> HYPERLINK \l "_Toc20407" </w:instrText>
          </w:r>
          <w:r>
            <w:fldChar w:fldCharType="separate"/>
          </w:r>
          <w:r>
            <w:rPr>
              <w:rFonts w:hint="eastAsia"/>
              <w:sz w:val="24"/>
              <w:szCs w:val="24"/>
            </w:rPr>
            <w:t>1.8</w:t>
          </w:r>
          <w:r>
            <w:rPr>
              <w:sz w:val="24"/>
              <w:szCs w:val="24"/>
            </w:rPr>
            <w:t xml:space="preserve"> </w:t>
          </w:r>
          <w:r>
            <w:rPr>
              <w:rFonts w:hint="eastAsia"/>
              <w:sz w:val="24"/>
              <w:szCs w:val="24"/>
            </w:rPr>
            <w:t>工匠精神</w:t>
          </w:r>
          <w:r>
            <w:rPr>
              <w:sz w:val="24"/>
              <w:szCs w:val="24"/>
            </w:rPr>
            <w:tab/>
          </w:r>
          <w:r>
            <w:rPr>
              <w:sz w:val="24"/>
              <w:szCs w:val="24"/>
            </w:rPr>
            <w:fldChar w:fldCharType="begin"/>
          </w:r>
          <w:r>
            <w:rPr>
              <w:sz w:val="24"/>
              <w:szCs w:val="24"/>
            </w:rPr>
            <w:instrText xml:space="preserve"> PAGEREF _Toc20407 </w:instrText>
          </w:r>
          <w:r>
            <w:rPr>
              <w:sz w:val="24"/>
              <w:szCs w:val="24"/>
            </w:rPr>
            <w:fldChar w:fldCharType="separate"/>
          </w:r>
          <w:r>
            <w:rPr>
              <w:sz w:val="24"/>
              <w:szCs w:val="24"/>
            </w:rPr>
            <w:t>22</w:t>
          </w:r>
          <w:r>
            <w:rPr>
              <w:sz w:val="24"/>
              <w:szCs w:val="24"/>
            </w:rPr>
            <w:fldChar w:fldCharType="end"/>
          </w:r>
          <w:r>
            <w:rPr>
              <w:sz w:val="24"/>
              <w:szCs w:val="24"/>
            </w:rPr>
            <w:fldChar w:fldCharType="end"/>
          </w:r>
        </w:p>
        <w:p>
          <w:pPr>
            <w:pStyle w:val="8"/>
            <w:tabs>
              <w:tab w:val="right" w:leader="dot" w:pos="8306"/>
            </w:tabs>
            <w:rPr>
              <w:sz w:val="24"/>
              <w:szCs w:val="24"/>
            </w:rPr>
          </w:pPr>
          <w:r>
            <w:fldChar w:fldCharType="begin"/>
          </w:r>
          <w:r>
            <w:instrText xml:space="preserve"> HYPERLINK \l "_Toc7338" </w:instrText>
          </w:r>
          <w:r>
            <w:fldChar w:fldCharType="separate"/>
          </w:r>
          <w:r>
            <w:rPr>
              <w:rFonts w:hint="eastAsia"/>
              <w:sz w:val="24"/>
              <w:szCs w:val="24"/>
            </w:rPr>
            <w:t>2</w:t>
          </w:r>
          <w:r>
            <w:rPr>
              <w:sz w:val="24"/>
              <w:szCs w:val="24"/>
            </w:rPr>
            <w:t xml:space="preserve"> 教学改革</w:t>
          </w:r>
          <w:r>
            <w:rPr>
              <w:sz w:val="24"/>
              <w:szCs w:val="24"/>
            </w:rPr>
            <w:tab/>
          </w:r>
          <w:r>
            <w:rPr>
              <w:sz w:val="24"/>
              <w:szCs w:val="24"/>
            </w:rPr>
            <w:fldChar w:fldCharType="begin"/>
          </w:r>
          <w:r>
            <w:rPr>
              <w:sz w:val="24"/>
              <w:szCs w:val="24"/>
            </w:rPr>
            <w:instrText xml:space="preserve"> PAGEREF _Toc7338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9"/>
            <w:tabs>
              <w:tab w:val="right" w:leader="dot" w:pos="8306"/>
            </w:tabs>
            <w:rPr>
              <w:sz w:val="24"/>
              <w:szCs w:val="24"/>
            </w:rPr>
          </w:pPr>
          <w:r>
            <w:fldChar w:fldCharType="begin"/>
          </w:r>
          <w:r>
            <w:instrText xml:space="preserve"> HYPERLINK \l "_Toc19199" </w:instrText>
          </w:r>
          <w:r>
            <w:fldChar w:fldCharType="separate"/>
          </w:r>
          <w:r>
            <w:rPr>
              <w:rFonts w:hint="eastAsia"/>
              <w:sz w:val="24"/>
              <w:szCs w:val="24"/>
            </w:rPr>
            <w:t>2</w:t>
          </w:r>
          <w:r>
            <w:rPr>
              <w:sz w:val="24"/>
              <w:szCs w:val="24"/>
            </w:rPr>
            <w:t>.1 专业建设和课程建设</w:t>
          </w:r>
          <w:r>
            <w:rPr>
              <w:sz w:val="24"/>
              <w:szCs w:val="24"/>
            </w:rPr>
            <w:tab/>
          </w:r>
          <w:r>
            <w:rPr>
              <w:sz w:val="24"/>
              <w:szCs w:val="24"/>
            </w:rPr>
            <w:fldChar w:fldCharType="begin"/>
          </w:r>
          <w:r>
            <w:rPr>
              <w:sz w:val="24"/>
              <w:szCs w:val="24"/>
            </w:rPr>
            <w:instrText xml:space="preserve"> PAGEREF _Toc19199 </w:instrText>
          </w:r>
          <w:r>
            <w:rPr>
              <w:sz w:val="24"/>
              <w:szCs w:val="24"/>
            </w:rPr>
            <w:fldChar w:fldCharType="separate"/>
          </w:r>
          <w:r>
            <w:rPr>
              <w:sz w:val="24"/>
              <w:szCs w:val="24"/>
            </w:rPr>
            <w:t>24</w:t>
          </w:r>
          <w:r>
            <w:rPr>
              <w:sz w:val="24"/>
              <w:szCs w:val="24"/>
            </w:rPr>
            <w:fldChar w:fldCharType="end"/>
          </w:r>
          <w:r>
            <w:rPr>
              <w:sz w:val="24"/>
              <w:szCs w:val="24"/>
            </w:rPr>
            <w:fldChar w:fldCharType="end"/>
          </w:r>
        </w:p>
        <w:p>
          <w:pPr>
            <w:pStyle w:val="9"/>
            <w:tabs>
              <w:tab w:val="right" w:leader="dot" w:pos="8306"/>
            </w:tabs>
            <w:rPr>
              <w:sz w:val="24"/>
              <w:szCs w:val="24"/>
            </w:rPr>
          </w:pPr>
          <w:r>
            <w:fldChar w:fldCharType="begin"/>
          </w:r>
          <w:r>
            <w:instrText xml:space="preserve"> HYPERLINK \l "_Toc21799" </w:instrText>
          </w:r>
          <w:r>
            <w:fldChar w:fldCharType="separate"/>
          </w:r>
          <w:r>
            <w:rPr>
              <w:rFonts w:hint="eastAsia"/>
              <w:sz w:val="24"/>
              <w:szCs w:val="24"/>
            </w:rPr>
            <w:t>2</w:t>
          </w:r>
          <w:r>
            <w:rPr>
              <w:sz w:val="24"/>
              <w:szCs w:val="24"/>
            </w:rPr>
            <w:t>.2 产</w:t>
          </w:r>
          <w:r>
            <w:rPr>
              <w:rFonts w:hint="eastAsia"/>
              <w:sz w:val="24"/>
              <w:szCs w:val="24"/>
            </w:rPr>
            <w:t>教</w:t>
          </w:r>
          <w:r>
            <w:rPr>
              <w:sz w:val="24"/>
              <w:szCs w:val="24"/>
            </w:rPr>
            <w:t>融合</w:t>
          </w:r>
          <w:r>
            <w:rPr>
              <w:sz w:val="24"/>
              <w:szCs w:val="24"/>
            </w:rPr>
            <w:tab/>
          </w:r>
          <w:r>
            <w:rPr>
              <w:sz w:val="24"/>
              <w:szCs w:val="24"/>
            </w:rPr>
            <w:fldChar w:fldCharType="end"/>
          </w:r>
          <w:r>
            <w:rPr>
              <w:sz w:val="24"/>
              <w:szCs w:val="24"/>
            </w:rPr>
            <w:t>28</w:t>
          </w:r>
        </w:p>
        <w:p>
          <w:pPr>
            <w:pStyle w:val="9"/>
            <w:tabs>
              <w:tab w:val="right" w:leader="dot" w:pos="8306"/>
            </w:tabs>
            <w:rPr>
              <w:sz w:val="24"/>
              <w:szCs w:val="24"/>
            </w:rPr>
          </w:pPr>
          <w:r>
            <w:fldChar w:fldCharType="begin"/>
          </w:r>
          <w:r>
            <w:instrText xml:space="preserve"> HYPERLINK \l "_Toc14632" </w:instrText>
          </w:r>
          <w:r>
            <w:fldChar w:fldCharType="separate"/>
          </w:r>
          <w:r>
            <w:rPr>
              <w:rFonts w:hint="eastAsia"/>
              <w:sz w:val="24"/>
              <w:szCs w:val="24"/>
            </w:rPr>
            <w:t>2</w:t>
          </w:r>
          <w:r>
            <w:rPr>
              <w:sz w:val="24"/>
              <w:szCs w:val="24"/>
            </w:rPr>
            <w:t>.3 教学资源</w:t>
          </w:r>
          <w:r>
            <w:rPr>
              <w:sz w:val="24"/>
              <w:szCs w:val="24"/>
            </w:rPr>
            <w:tab/>
          </w:r>
          <w:r>
            <w:rPr>
              <w:sz w:val="24"/>
              <w:szCs w:val="24"/>
            </w:rPr>
            <w:fldChar w:fldCharType="end"/>
          </w:r>
          <w:r>
            <w:rPr>
              <w:sz w:val="24"/>
              <w:szCs w:val="24"/>
            </w:rPr>
            <w:t>31</w:t>
          </w:r>
        </w:p>
        <w:p>
          <w:pPr>
            <w:pStyle w:val="9"/>
            <w:tabs>
              <w:tab w:val="right" w:leader="dot" w:pos="8306"/>
            </w:tabs>
            <w:rPr>
              <w:sz w:val="24"/>
              <w:szCs w:val="24"/>
            </w:rPr>
          </w:pPr>
          <w:r>
            <w:fldChar w:fldCharType="begin"/>
          </w:r>
          <w:r>
            <w:instrText xml:space="preserve"> HYPERLINK \l "_Toc32746" </w:instrText>
          </w:r>
          <w:r>
            <w:fldChar w:fldCharType="separate"/>
          </w:r>
          <w:r>
            <w:rPr>
              <w:rFonts w:hint="eastAsia"/>
              <w:sz w:val="24"/>
              <w:szCs w:val="24"/>
            </w:rPr>
            <w:t>2</w:t>
          </w:r>
          <w:r>
            <w:rPr>
              <w:sz w:val="24"/>
              <w:szCs w:val="24"/>
            </w:rPr>
            <w:t>.4 教学信息化</w:t>
          </w:r>
          <w:r>
            <w:rPr>
              <w:sz w:val="24"/>
              <w:szCs w:val="24"/>
            </w:rPr>
            <w:tab/>
          </w:r>
          <w:r>
            <w:rPr>
              <w:sz w:val="24"/>
              <w:szCs w:val="24"/>
            </w:rPr>
            <w:fldChar w:fldCharType="end"/>
          </w:r>
          <w:r>
            <w:rPr>
              <w:sz w:val="24"/>
              <w:szCs w:val="24"/>
            </w:rPr>
            <w:t>35</w:t>
          </w:r>
        </w:p>
        <w:p>
          <w:pPr>
            <w:pStyle w:val="9"/>
            <w:tabs>
              <w:tab w:val="right" w:leader="dot" w:pos="8306"/>
            </w:tabs>
            <w:rPr>
              <w:sz w:val="24"/>
              <w:szCs w:val="24"/>
            </w:rPr>
          </w:pPr>
          <w:r>
            <w:fldChar w:fldCharType="begin"/>
          </w:r>
          <w:r>
            <w:instrText xml:space="preserve"> HYPERLINK \l "_Toc9412" </w:instrText>
          </w:r>
          <w:r>
            <w:fldChar w:fldCharType="separate"/>
          </w:r>
          <w:r>
            <w:rPr>
              <w:rFonts w:hint="eastAsia"/>
              <w:sz w:val="24"/>
              <w:szCs w:val="24"/>
            </w:rPr>
            <w:t>2</w:t>
          </w:r>
          <w:r>
            <w:rPr>
              <w:sz w:val="24"/>
              <w:szCs w:val="24"/>
            </w:rPr>
            <w:t>.5 教师队伍</w:t>
          </w:r>
          <w:r>
            <w:rPr>
              <w:sz w:val="24"/>
              <w:szCs w:val="24"/>
            </w:rPr>
            <w:tab/>
          </w:r>
          <w:r>
            <w:rPr>
              <w:sz w:val="24"/>
              <w:szCs w:val="24"/>
            </w:rPr>
            <w:fldChar w:fldCharType="end"/>
          </w:r>
          <w:r>
            <w:rPr>
              <w:sz w:val="24"/>
              <w:szCs w:val="24"/>
            </w:rPr>
            <w:t>37</w:t>
          </w:r>
        </w:p>
        <w:p>
          <w:pPr>
            <w:pStyle w:val="8"/>
            <w:tabs>
              <w:tab w:val="right" w:leader="dot" w:pos="8306"/>
            </w:tabs>
            <w:rPr>
              <w:sz w:val="24"/>
              <w:szCs w:val="24"/>
            </w:rPr>
          </w:pPr>
          <w:r>
            <w:fldChar w:fldCharType="begin"/>
          </w:r>
          <w:r>
            <w:instrText xml:space="preserve"> HYPERLINK \l "_Toc32055" </w:instrText>
          </w:r>
          <w:r>
            <w:fldChar w:fldCharType="separate"/>
          </w:r>
          <w:r>
            <w:rPr>
              <w:sz w:val="24"/>
              <w:szCs w:val="24"/>
            </w:rPr>
            <w:t>3 政策保障</w:t>
          </w:r>
          <w:r>
            <w:rPr>
              <w:sz w:val="24"/>
              <w:szCs w:val="24"/>
            </w:rPr>
            <w:tab/>
          </w:r>
          <w:r>
            <w:rPr>
              <w:sz w:val="24"/>
              <w:szCs w:val="24"/>
            </w:rPr>
            <w:fldChar w:fldCharType="end"/>
          </w:r>
          <w:r>
            <w:rPr>
              <w:sz w:val="24"/>
              <w:szCs w:val="24"/>
            </w:rPr>
            <w:t>41</w:t>
          </w:r>
        </w:p>
        <w:p>
          <w:pPr>
            <w:pStyle w:val="9"/>
            <w:tabs>
              <w:tab w:val="right" w:leader="dot" w:pos="8306"/>
            </w:tabs>
            <w:rPr>
              <w:sz w:val="24"/>
              <w:szCs w:val="24"/>
            </w:rPr>
          </w:pPr>
          <w:r>
            <w:fldChar w:fldCharType="begin"/>
          </w:r>
          <w:r>
            <w:instrText xml:space="preserve"> HYPERLINK \l "_Toc15980" </w:instrText>
          </w:r>
          <w:r>
            <w:fldChar w:fldCharType="separate"/>
          </w:r>
          <w:r>
            <w:rPr>
              <w:rFonts w:hint="eastAsia"/>
              <w:sz w:val="24"/>
              <w:szCs w:val="24"/>
            </w:rPr>
            <w:t>3.1</w:t>
          </w:r>
          <w:r>
            <w:rPr>
              <w:sz w:val="24"/>
              <w:szCs w:val="24"/>
            </w:rPr>
            <w:t>政策引</w:t>
          </w:r>
          <w:r>
            <w:rPr>
              <w:rFonts w:hint="eastAsia"/>
              <w:sz w:val="24"/>
              <w:szCs w:val="24"/>
            </w:rPr>
            <w:t>导</w:t>
          </w:r>
          <w:r>
            <w:rPr>
              <w:sz w:val="24"/>
              <w:szCs w:val="24"/>
            </w:rPr>
            <w:tab/>
          </w:r>
          <w:r>
            <w:rPr>
              <w:sz w:val="24"/>
              <w:szCs w:val="24"/>
            </w:rPr>
            <w:fldChar w:fldCharType="end"/>
          </w:r>
          <w:r>
            <w:rPr>
              <w:sz w:val="24"/>
              <w:szCs w:val="24"/>
            </w:rPr>
            <w:t>42</w:t>
          </w:r>
        </w:p>
        <w:p>
          <w:pPr>
            <w:pStyle w:val="9"/>
            <w:tabs>
              <w:tab w:val="right" w:leader="dot" w:pos="8306"/>
            </w:tabs>
            <w:rPr>
              <w:sz w:val="24"/>
              <w:szCs w:val="24"/>
            </w:rPr>
          </w:pPr>
          <w:r>
            <w:fldChar w:fldCharType="begin"/>
          </w:r>
          <w:r>
            <w:instrText xml:space="preserve"> HYPERLINK \l "_Toc24427" </w:instrText>
          </w:r>
          <w:r>
            <w:fldChar w:fldCharType="separate"/>
          </w:r>
          <w:r>
            <w:rPr>
              <w:rFonts w:hint="eastAsia"/>
              <w:sz w:val="24"/>
              <w:szCs w:val="24"/>
            </w:rPr>
            <w:t>3.2专项实施</w:t>
          </w:r>
          <w:r>
            <w:rPr>
              <w:sz w:val="24"/>
              <w:szCs w:val="24"/>
            </w:rPr>
            <w:tab/>
          </w:r>
          <w:r>
            <w:rPr>
              <w:sz w:val="24"/>
              <w:szCs w:val="24"/>
            </w:rPr>
            <w:fldChar w:fldCharType="end"/>
          </w:r>
          <w:r>
            <w:rPr>
              <w:sz w:val="24"/>
              <w:szCs w:val="24"/>
            </w:rPr>
            <w:t>43</w:t>
          </w:r>
        </w:p>
        <w:p>
          <w:pPr>
            <w:pStyle w:val="8"/>
            <w:tabs>
              <w:tab w:val="right" w:leader="dot" w:pos="8306"/>
            </w:tabs>
            <w:rPr>
              <w:sz w:val="24"/>
              <w:szCs w:val="24"/>
            </w:rPr>
          </w:pPr>
          <w:r>
            <w:fldChar w:fldCharType="begin"/>
          </w:r>
          <w:r>
            <w:instrText xml:space="preserve"> HYPERLINK \l "_Toc16712" </w:instrText>
          </w:r>
          <w:r>
            <w:fldChar w:fldCharType="separate"/>
          </w:r>
          <w:r>
            <w:rPr>
              <w:rFonts w:hint="eastAsia"/>
              <w:sz w:val="24"/>
              <w:szCs w:val="24"/>
            </w:rPr>
            <w:t>4</w:t>
          </w:r>
          <w:r>
            <w:rPr>
              <w:sz w:val="24"/>
              <w:szCs w:val="24"/>
            </w:rPr>
            <w:t xml:space="preserve"> 服务贡献</w:t>
          </w:r>
          <w:r>
            <w:rPr>
              <w:sz w:val="24"/>
              <w:szCs w:val="24"/>
            </w:rPr>
            <w:tab/>
          </w:r>
          <w:r>
            <w:rPr>
              <w:sz w:val="24"/>
              <w:szCs w:val="24"/>
            </w:rPr>
            <w:fldChar w:fldCharType="end"/>
          </w:r>
          <w:r>
            <w:rPr>
              <w:sz w:val="24"/>
              <w:szCs w:val="24"/>
            </w:rPr>
            <w:t>49</w:t>
          </w:r>
        </w:p>
        <w:p>
          <w:pPr>
            <w:pStyle w:val="9"/>
            <w:tabs>
              <w:tab w:val="right" w:leader="dot" w:pos="8306"/>
            </w:tabs>
            <w:rPr>
              <w:sz w:val="24"/>
              <w:szCs w:val="24"/>
            </w:rPr>
          </w:pPr>
          <w:r>
            <w:fldChar w:fldCharType="begin"/>
          </w:r>
          <w:r>
            <w:instrText xml:space="preserve"> HYPERLINK \l "_Toc13588" </w:instrText>
          </w:r>
          <w:r>
            <w:fldChar w:fldCharType="separate"/>
          </w:r>
          <w:r>
            <w:rPr>
              <w:rFonts w:hint="eastAsia"/>
              <w:sz w:val="24"/>
              <w:szCs w:val="24"/>
            </w:rPr>
            <w:t>4</w:t>
          </w:r>
          <w:r>
            <w:rPr>
              <w:sz w:val="24"/>
              <w:szCs w:val="24"/>
            </w:rPr>
            <w:t>.1科技</w:t>
          </w:r>
          <w:r>
            <w:rPr>
              <w:rFonts w:hint="eastAsia"/>
              <w:sz w:val="24"/>
              <w:szCs w:val="24"/>
            </w:rPr>
            <w:t>服务</w:t>
          </w:r>
          <w:r>
            <w:rPr>
              <w:sz w:val="24"/>
              <w:szCs w:val="24"/>
            </w:rPr>
            <w:t>创新</w:t>
          </w:r>
          <w:r>
            <w:rPr>
              <w:sz w:val="24"/>
              <w:szCs w:val="24"/>
            </w:rPr>
            <w:tab/>
          </w:r>
          <w:r>
            <w:rPr>
              <w:sz w:val="24"/>
              <w:szCs w:val="24"/>
            </w:rPr>
            <w:fldChar w:fldCharType="end"/>
          </w:r>
          <w:r>
            <w:rPr>
              <w:sz w:val="24"/>
              <w:szCs w:val="24"/>
            </w:rPr>
            <w:t>49</w:t>
          </w:r>
        </w:p>
        <w:p>
          <w:pPr>
            <w:pStyle w:val="9"/>
            <w:tabs>
              <w:tab w:val="right" w:leader="dot" w:pos="8306"/>
            </w:tabs>
            <w:rPr>
              <w:sz w:val="24"/>
              <w:szCs w:val="24"/>
            </w:rPr>
          </w:pPr>
          <w:r>
            <w:fldChar w:fldCharType="begin"/>
          </w:r>
          <w:r>
            <w:instrText xml:space="preserve"> HYPERLINK \l "_Toc5556" </w:instrText>
          </w:r>
          <w:r>
            <w:fldChar w:fldCharType="separate"/>
          </w:r>
          <w:r>
            <w:rPr>
              <w:rFonts w:hint="eastAsia"/>
              <w:sz w:val="24"/>
              <w:szCs w:val="24"/>
            </w:rPr>
            <w:t>4</w:t>
          </w:r>
          <w:r>
            <w:rPr>
              <w:sz w:val="24"/>
              <w:szCs w:val="24"/>
            </w:rPr>
            <w:t>.2 社会服务及培训</w:t>
          </w:r>
          <w:r>
            <w:rPr>
              <w:sz w:val="24"/>
              <w:szCs w:val="24"/>
            </w:rPr>
            <w:tab/>
          </w:r>
          <w:r>
            <w:rPr>
              <w:sz w:val="24"/>
              <w:szCs w:val="24"/>
            </w:rPr>
            <w:fldChar w:fldCharType="end"/>
          </w:r>
          <w:r>
            <w:rPr>
              <w:sz w:val="24"/>
              <w:szCs w:val="24"/>
            </w:rPr>
            <w:t>51</w:t>
          </w:r>
        </w:p>
        <w:p>
          <w:pPr>
            <w:pStyle w:val="9"/>
            <w:tabs>
              <w:tab w:val="right" w:leader="dot" w:pos="8306"/>
            </w:tabs>
            <w:rPr>
              <w:sz w:val="24"/>
              <w:szCs w:val="24"/>
            </w:rPr>
          </w:pPr>
          <w:r>
            <w:fldChar w:fldCharType="begin"/>
          </w:r>
          <w:r>
            <w:instrText xml:space="preserve"> HYPERLINK \l "_Toc26426" </w:instrText>
          </w:r>
          <w:r>
            <w:fldChar w:fldCharType="separate"/>
          </w:r>
          <w:r>
            <w:rPr>
              <w:sz w:val="24"/>
              <w:szCs w:val="24"/>
            </w:rPr>
            <w:t>4.3 服务脱贫攻坚</w:t>
          </w:r>
          <w:r>
            <w:rPr>
              <w:rFonts w:hint="eastAsia"/>
              <w:sz w:val="24"/>
              <w:szCs w:val="24"/>
            </w:rPr>
            <w:t>，</w:t>
          </w:r>
          <w:r>
            <w:rPr>
              <w:sz w:val="24"/>
              <w:szCs w:val="24"/>
            </w:rPr>
            <w:t>抓牢</w:t>
          </w:r>
          <w:r>
            <w:rPr>
              <w:rFonts w:hint="eastAsia"/>
              <w:sz w:val="24"/>
              <w:szCs w:val="24"/>
            </w:rPr>
            <w:t>“资助育人”</w:t>
          </w:r>
          <w:r>
            <w:rPr>
              <w:sz w:val="24"/>
              <w:szCs w:val="24"/>
            </w:rPr>
            <w:tab/>
          </w:r>
          <w:r>
            <w:rPr>
              <w:sz w:val="24"/>
              <w:szCs w:val="24"/>
            </w:rPr>
            <w:fldChar w:fldCharType="end"/>
          </w:r>
          <w:r>
            <w:rPr>
              <w:sz w:val="24"/>
              <w:szCs w:val="24"/>
            </w:rPr>
            <w:t>53</w:t>
          </w:r>
        </w:p>
        <w:p>
          <w:pPr>
            <w:pStyle w:val="8"/>
            <w:tabs>
              <w:tab w:val="right" w:leader="dot" w:pos="8306"/>
            </w:tabs>
            <w:rPr>
              <w:sz w:val="24"/>
              <w:szCs w:val="24"/>
            </w:rPr>
          </w:pPr>
          <w:r>
            <w:fldChar w:fldCharType="begin"/>
          </w:r>
          <w:r>
            <w:instrText xml:space="preserve"> HYPERLINK \l "_Toc25126" </w:instrText>
          </w:r>
          <w:r>
            <w:fldChar w:fldCharType="separate"/>
          </w:r>
          <w:r>
            <w:rPr>
              <w:rFonts w:hint="eastAsia"/>
              <w:sz w:val="24"/>
              <w:szCs w:val="24"/>
            </w:rPr>
            <w:t>5</w:t>
          </w:r>
          <w:r>
            <w:rPr>
              <w:sz w:val="24"/>
              <w:szCs w:val="24"/>
            </w:rPr>
            <w:t xml:space="preserve"> 国际合作</w:t>
          </w:r>
          <w:r>
            <w:rPr>
              <w:sz w:val="24"/>
              <w:szCs w:val="24"/>
            </w:rPr>
            <w:tab/>
          </w:r>
          <w:r>
            <w:rPr>
              <w:sz w:val="24"/>
              <w:szCs w:val="24"/>
            </w:rPr>
            <w:fldChar w:fldCharType="end"/>
          </w:r>
          <w:r>
            <w:rPr>
              <w:sz w:val="24"/>
              <w:szCs w:val="24"/>
            </w:rPr>
            <w:t>56</w:t>
          </w:r>
        </w:p>
        <w:p>
          <w:pPr>
            <w:pStyle w:val="9"/>
            <w:tabs>
              <w:tab w:val="right" w:leader="dot" w:pos="8306"/>
            </w:tabs>
            <w:rPr>
              <w:sz w:val="24"/>
              <w:szCs w:val="24"/>
            </w:rPr>
          </w:pPr>
          <w:r>
            <w:fldChar w:fldCharType="begin"/>
          </w:r>
          <w:r>
            <w:instrText xml:space="preserve"> HYPERLINK \l "_Toc1502" </w:instrText>
          </w:r>
          <w:r>
            <w:fldChar w:fldCharType="separate"/>
          </w:r>
          <w:r>
            <w:rPr>
              <w:rFonts w:hint="eastAsia"/>
              <w:sz w:val="24"/>
              <w:szCs w:val="24"/>
            </w:rPr>
            <w:t>5</w:t>
          </w:r>
          <w:r>
            <w:rPr>
              <w:sz w:val="24"/>
              <w:szCs w:val="24"/>
            </w:rPr>
            <w:t>.1 合作办学</w:t>
          </w:r>
          <w:r>
            <w:rPr>
              <w:sz w:val="24"/>
              <w:szCs w:val="24"/>
            </w:rPr>
            <w:tab/>
          </w:r>
          <w:r>
            <w:rPr>
              <w:sz w:val="24"/>
              <w:szCs w:val="24"/>
            </w:rPr>
            <w:fldChar w:fldCharType="end"/>
          </w:r>
          <w:r>
            <w:rPr>
              <w:sz w:val="24"/>
              <w:szCs w:val="24"/>
            </w:rPr>
            <w:t>56</w:t>
          </w:r>
        </w:p>
        <w:p>
          <w:pPr>
            <w:pStyle w:val="8"/>
            <w:tabs>
              <w:tab w:val="right" w:leader="dot" w:pos="8306"/>
            </w:tabs>
            <w:rPr>
              <w:sz w:val="24"/>
              <w:szCs w:val="24"/>
            </w:rPr>
          </w:pPr>
          <w:r>
            <w:fldChar w:fldCharType="begin"/>
          </w:r>
          <w:r>
            <w:instrText xml:space="preserve"> HYPERLINK \l "_Toc29809" </w:instrText>
          </w:r>
          <w:r>
            <w:fldChar w:fldCharType="separate"/>
          </w:r>
          <w:r>
            <w:rPr>
              <w:rFonts w:hint="eastAsia"/>
              <w:sz w:val="24"/>
              <w:szCs w:val="24"/>
            </w:rPr>
            <w:t>6</w:t>
          </w:r>
          <w:r>
            <w:rPr>
              <w:sz w:val="24"/>
              <w:szCs w:val="24"/>
            </w:rPr>
            <w:t xml:space="preserve"> </w:t>
          </w:r>
          <w:r>
            <w:rPr>
              <w:rFonts w:hint="eastAsia"/>
              <w:sz w:val="24"/>
              <w:szCs w:val="24"/>
            </w:rPr>
            <w:t>挑战与展望</w:t>
          </w:r>
          <w:r>
            <w:rPr>
              <w:sz w:val="24"/>
              <w:szCs w:val="24"/>
            </w:rPr>
            <w:tab/>
          </w:r>
          <w:r>
            <w:rPr>
              <w:sz w:val="24"/>
              <w:szCs w:val="24"/>
            </w:rPr>
            <w:fldChar w:fldCharType="end"/>
          </w:r>
          <w:r>
            <w:rPr>
              <w:sz w:val="24"/>
              <w:szCs w:val="24"/>
            </w:rPr>
            <w:t>57</w:t>
          </w:r>
        </w:p>
        <w:p>
          <w:pPr>
            <w:pStyle w:val="9"/>
            <w:tabs>
              <w:tab w:val="right" w:leader="dot" w:pos="8306"/>
            </w:tabs>
            <w:rPr>
              <w:sz w:val="24"/>
              <w:szCs w:val="24"/>
            </w:rPr>
          </w:pPr>
          <w:r>
            <w:fldChar w:fldCharType="begin"/>
          </w:r>
          <w:r>
            <w:instrText xml:space="preserve"> HYPERLINK \l "_Toc5619" </w:instrText>
          </w:r>
          <w:r>
            <w:fldChar w:fldCharType="separate"/>
          </w:r>
          <w:r>
            <w:rPr>
              <w:rFonts w:hint="eastAsia"/>
              <w:sz w:val="24"/>
              <w:szCs w:val="24"/>
            </w:rPr>
            <w:t>6.1</w:t>
          </w:r>
          <w:r>
            <w:rPr>
              <w:sz w:val="24"/>
              <w:szCs w:val="24"/>
            </w:rPr>
            <w:t xml:space="preserve"> </w:t>
          </w:r>
          <w:r>
            <w:rPr>
              <w:rFonts w:hint="eastAsia"/>
              <w:sz w:val="24"/>
              <w:szCs w:val="24"/>
            </w:rPr>
            <w:t>面临挑战</w:t>
          </w:r>
          <w:r>
            <w:rPr>
              <w:sz w:val="24"/>
              <w:szCs w:val="24"/>
            </w:rPr>
            <w:tab/>
          </w:r>
          <w:r>
            <w:rPr>
              <w:sz w:val="24"/>
              <w:szCs w:val="24"/>
            </w:rPr>
            <w:fldChar w:fldCharType="end"/>
          </w:r>
          <w:r>
            <w:rPr>
              <w:sz w:val="24"/>
              <w:szCs w:val="24"/>
            </w:rPr>
            <w:t>57</w:t>
          </w:r>
        </w:p>
        <w:p>
          <w:pPr>
            <w:pStyle w:val="9"/>
            <w:tabs>
              <w:tab w:val="right" w:leader="dot" w:pos="8306"/>
            </w:tabs>
            <w:rPr>
              <w:sz w:val="24"/>
              <w:szCs w:val="24"/>
            </w:rPr>
          </w:pPr>
          <w:r>
            <w:fldChar w:fldCharType="begin"/>
          </w:r>
          <w:r>
            <w:instrText xml:space="preserve"> HYPERLINK \l "_Toc14952" </w:instrText>
          </w:r>
          <w:r>
            <w:fldChar w:fldCharType="separate"/>
          </w:r>
          <w:r>
            <w:rPr>
              <w:rFonts w:hint="eastAsia"/>
              <w:sz w:val="24"/>
              <w:szCs w:val="24"/>
            </w:rPr>
            <w:t>6.2</w:t>
          </w:r>
          <w:r>
            <w:rPr>
              <w:sz w:val="24"/>
              <w:szCs w:val="24"/>
            </w:rPr>
            <w:t xml:space="preserve"> </w:t>
          </w:r>
          <w:r>
            <w:rPr>
              <w:rFonts w:hint="eastAsia"/>
              <w:sz w:val="24"/>
              <w:szCs w:val="24"/>
            </w:rPr>
            <w:t>应对措施</w:t>
          </w:r>
          <w:r>
            <w:rPr>
              <w:sz w:val="24"/>
              <w:szCs w:val="24"/>
            </w:rPr>
            <w:tab/>
          </w:r>
          <w:r>
            <w:rPr>
              <w:sz w:val="24"/>
              <w:szCs w:val="24"/>
            </w:rPr>
            <w:fldChar w:fldCharType="end"/>
          </w:r>
          <w:r>
            <w:rPr>
              <w:sz w:val="24"/>
              <w:szCs w:val="24"/>
            </w:rPr>
            <w:t>58</w:t>
          </w:r>
        </w:p>
        <w:p>
          <w:pPr>
            <w:pStyle w:val="8"/>
            <w:tabs>
              <w:tab w:val="right" w:leader="dot" w:pos="8306"/>
            </w:tabs>
            <w:rPr>
              <w:sz w:val="24"/>
              <w:szCs w:val="24"/>
            </w:rPr>
          </w:pPr>
          <w:r>
            <w:fldChar w:fldCharType="begin"/>
          </w:r>
          <w:r>
            <w:instrText xml:space="preserve"> HYPERLINK \l "_Toc11" </w:instrText>
          </w:r>
          <w:r>
            <w:fldChar w:fldCharType="separate"/>
          </w:r>
          <w:r>
            <w:rPr>
              <w:rFonts w:hint="eastAsia"/>
              <w:sz w:val="24"/>
              <w:szCs w:val="24"/>
            </w:rPr>
            <w:t>附图目录</w:t>
          </w:r>
          <w:r>
            <w:rPr>
              <w:sz w:val="24"/>
              <w:szCs w:val="24"/>
            </w:rPr>
            <w:tab/>
          </w:r>
          <w:r>
            <w:rPr>
              <w:sz w:val="24"/>
              <w:szCs w:val="24"/>
            </w:rPr>
            <w:fldChar w:fldCharType="end"/>
          </w:r>
          <w:r>
            <w:rPr>
              <w:sz w:val="24"/>
              <w:szCs w:val="24"/>
            </w:rPr>
            <w:t>60</w:t>
          </w:r>
        </w:p>
        <w:p>
          <w:pPr>
            <w:pStyle w:val="8"/>
            <w:tabs>
              <w:tab w:val="right" w:leader="dot" w:pos="8306"/>
            </w:tabs>
            <w:rPr>
              <w:sz w:val="24"/>
              <w:szCs w:val="24"/>
            </w:rPr>
          </w:pPr>
          <w:r>
            <w:fldChar w:fldCharType="begin"/>
          </w:r>
          <w:r>
            <w:instrText xml:space="preserve"> HYPERLINK \l "_Toc27730" </w:instrText>
          </w:r>
          <w:r>
            <w:fldChar w:fldCharType="separate"/>
          </w:r>
          <w:r>
            <w:rPr>
              <w:rFonts w:hint="eastAsia"/>
              <w:sz w:val="24"/>
              <w:szCs w:val="24"/>
            </w:rPr>
            <w:t>附表目录</w:t>
          </w:r>
          <w:r>
            <w:rPr>
              <w:sz w:val="24"/>
              <w:szCs w:val="24"/>
            </w:rPr>
            <w:tab/>
          </w:r>
          <w:r>
            <w:rPr>
              <w:sz w:val="24"/>
              <w:szCs w:val="24"/>
            </w:rPr>
            <w:fldChar w:fldCharType="end"/>
          </w:r>
          <w:r>
            <w:rPr>
              <w:sz w:val="24"/>
              <w:szCs w:val="24"/>
            </w:rPr>
            <w:t>61</w:t>
          </w:r>
        </w:p>
        <w:p>
          <w:pPr>
            <w:pStyle w:val="8"/>
            <w:tabs>
              <w:tab w:val="right" w:leader="dot" w:pos="8306"/>
            </w:tabs>
            <w:rPr>
              <w:sz w:val="24"/>
              <w:szCs w:val="24"/>
            </w:rPr>
          </w:pPr>
          <w:r>
            <w:fldChar w:fldCharType="begin"/>
          </w:r>
          <w:r>
            <w:instrText xml:space="preserve"> HYPERLINK \l "_Toc11610" </w:instrText>
          </w:r>
          <w:r>
            <w:fldChar w:fldCharType="separate"/>
          </w:r>
          <w:r>
            <w:rPr>
              <w:sz w:val="24"/>
              <w:szCs w:val="24"/>
            </w:rPr>
            <w:t>案例目录</w:t>
          </w:r>
          <w:r>
            <w:rPr>
              <w:sz w:val="24"/>
              <w:szCs w:val="24"/>
            </w:rPr>
            <w:tab/>
          </w:r>
          <w:r>
            <w:rPr>
              <w:sz w:val="24"/>
              <w:szCs w:val="24"/>
            </w:rPr>
            <w:fldChar w:fldCharType="end"/>
          </w:r>
          <w:r>
            <w:rPr>
              <w:sz w:val="24"/>
              <w:szCs w:val="24"/>
            </w:rPr>
            <w:t>62</w:t>
          </w:r>
        </w:p>
        <w:p>
          <w:pPr>
            <w:pStyle w:val="8"/>
            <w:tabs>
              <w:tab w:val="right" w:leader="dot" w:pos="8306"/>
            </w:tabs>
            <w:rPr>
              <w:sz w:val="24"/>
              <w:szCs w:val="24"/>
            </w:rPr>
            <w:sectPr>
              <w:footerReference r:id="rId7" w:type="default"/>
              <w:footerReference r:id="rId8" w:type="even"/>
              <w:pgSz w:w="11906" w:h="16838"/>
              <w:pgMar w:top="1440" w:right="1800" w:bottom="1440" w:left="1800" w:header="851" w:footer="992" w:gutter="0"/>
              <w:pgNumType w:start="1"/>
              <w:cols w:space="425" w:num="1"/>
              <w:docGrid w:type="lines" w:linePitch="312" w:charSpace="0"/>
            </w:sectPr>
          </w:pPr>
        </w:p>
        <w:p>
          <w:pPr>
            <w:pStyle w:val="8"/>
            <w:tabs>
              <w:tab w:val="right" w:leader="dot" w:pos="8306"/>
            </w:tabs>
            <w:rPr>
              <w:sz w:val="24"/>
              <w:szCs w:val="24"/>
            </w:rPr>
          </w:pPr>
          <w:r>
            <w:fldChar w:fldCharType="begin"/>
          </w:r>
          <w:r>
            <w:instrText xml:space="preserve"> HYPERLINK \l "_Toc24665" </w:instrText>
          </w:r>
          <w:r>
            <w:fldChar w:fldCharType="separate"/>
          </w:r>
          <w:r>
            <w:rPr>
              <w:rFonts w:hint="eastAsia" w:ascii="方正小标宋简体"/>
              <w:sz w:val="24"/>
              <w:szCs w:val="24"/>
            </w:rPr>
            <w:t>附件：通辽职业学院质量年度报告指标（2020）</w:t>
          </w:r>
          <w:r>
            <w:rPr>
              <w:sz w:val="24"/>
              <w:szCs w:val="24"/>
            </w:rPr>
            <w:tab/>
          </w:r>
          <w:r>
            <w:rPr>
              <w:sz w:val="24"/>
              <w:szCs w:val="24"/>
            </w:rPr>
            <w:fldChar w:fldCharType="end"/>
          </w:r>
          <w:r>
            <w:rPr>
              <w:sz w:val="24"/>
              <w:szCs w:val="24"/>
            </w:rPr>
            <w:t>63</w:t>
          </w:r>
        </w:p>
        <w:p>
          <w:pPr>
            <w:pStyle w:val="9"/>
            <w:tabs>
              <w:tab w:val="right" w:leader="dot" w:pos="8306"/>
            </w:tabs>
            <w:rPr>
              <w:sz w:val="24"/>
              <w:szCs w:val="24"/>
            </w:rPr>
          </w:pPr>
          <w:r>
            <w:rPr>
              <w:sz w:val="24"/>
              <w:szCs w:val="24"/>
            </w:rPr>
            <w:fldChar w:fldCharType="end"/>
          </w:r>
          <w:r>
            <w:fldChar w:fldCharType="begin"/>
          </w:r>
          <w:r>
            <w:instrText xml:space="preserve"> HYPERLINK \l "_Toc5619" </w:instrText>
          </w:r>
          <w:r>
            <w:fldChar w:fldCharType="separate"/>
          </w:r>
          <w:r>
            <w:rPr>
              <w:rFonts w:hint="eastAsia"/>
              <w:sz w:val="24"/>
              <w:szCs w:val="24"/>
            </w:rPr>
            <w:t>表1</w:t>
          </w:r>
          <w:r>
            <w:rPr>
              <w:sz w:val="24"/>
              <w:szCs w:val="24"/>
            </w:rPr>
            <w:t xml:space="preserve"> </w:t>
          </w:r>
          <w:r>
            <w:rPr>
              <w:rFonts w:hint="eastAsia"/>
              <w:sz w:val="24"/>
              <w:szCs w:val="24"/>
            </w:rPr>
            <w:t>通辽职业学院“计分卡”</w:t>
          </w:r>
          <w:r>
            <w:rPr>
              <w:sz w:val="24"/>
              <w:szCs w:val="24"/>
            </w:rPr>
            <w:tab/>
          </w:r>
          <w:r>
            <w:rPr>
              <w:sz w:val="24"/>
              <w:szCs w:val="24"/>
            </w:rPr>
            <w:fldChar w:fldCharType="end"/>
          </w:r>
          <w:r>
            <w:rPr>
              <w:sz w:val="24"/>
              <w:szCs w:val="24"/>
            </w:rPr>
            <w:t>63</w:t>
          </w:r>
        </w:p>
        <w:p>
          <w:pPr>
            <w:pStyle w:val="9"/>
            <w:tabs>
              <w:tab w:val="right" w:leader="dot" w:pos="8306"/>
            </w:tabs>
            <w:rPr>
              <w:sz w:val="24"/>
              <w:szCs w:val="24"/>
            </w:rPr>
          </w:pPr>
          <w:r>
            <w:fldChar w:fldCharType="begin"/>
          </w:r>
          <w:r>
            <w:instrText xml:space="preserve"> HYPERLINK \l "_Toc14952" </w:instrText>
          </w:r>
          <w:r>
            <w:fldChar w:fldCharType="separate"/>
          </w:r>
          <w:r>
            <w:rPr>
              <w:rFonts w:hint="eastAsia"/>
              <w:sz w:val="24"/>
              <w:szCs w:val="24"/>
            </w:rPr>
            <w:t>表2</w:t>
          </w:r>
          <w:r>
            <w:rPr>
              <w:sz w:val="24"/>
              <w:szCs w:val="24"/>
            </w:rPr>
            <w:t xml:space="preserve"> </w:t>
          </w:r>
          <w:r>
            <w:rPr>
              <w:rFonts w:hint="eastAsia"/>
              <w:sz w:val="24"/>
              <w:szCs w:val="24"/>
            </w:rPr>
            <w:t>通辽职业学院“学生反馈表”</w:t>
          </w:r>
          <w:r>
            <w:rPr>
              <w:sz w:val="24"/>
              <w:szCs w:val="24"/>
            </w:rPr>
            <w:tab/>
          </w:r>
          <w:r>
            <w:rPr>
              <w:sz w:val="24"/>
              <w:szCs w:val="24"/>
            </w:rPr>
            <w:fldChar w:fldCharType="end"/>
          </w:r>
          <w:r>
            <w:rPr>
              <w:sz w:val="24"/>
              <w:szCs w:val="24"/>
            </w:rPr>
            <w:t>64</w:t>
          </w:r>
        </w:p>
        <w:p>
          <w:pPr>
            <w:pStyle w:val="9"/>
            <w:tabs>
              <w:tab w:val="right" w:leader="dot" w:pos="8306"/>
            </w:tabs>
            <w:rPr>
              <w:sz w:val="24"/>
              <w:szCs w:val="24"/>
            </w:rPr>
          </w:pPr>
          <w:r>
            <w:fldChar w:fldCharType="begin"/>
          </w:r>
          <w:r>
            <w:instrText xml:space="preserve"> HYPERLINK \l "_Toc5619" </w:instrText>
          </w:r>
          <w:r>
            <w:fldChar w:fldCharType="separate"/>
          </w:r>
          <w:r>
            <w:rPr>
              <w:rFonts w:hint="eastAsia"/>
              <w:sz w:val="24"/>
              <w:szCs w:val="24"/>
            </w:rPr>
            <w:t>表3</w:t>
          </w:r>
          <w:r>
            <w:rPr>
              <w:sz w:val="24"/>
              <w:szCs w:val="24"/>
            </w:rPr>
            <w:t xml:space="preserve"> </w:t>
          </w:r>
          <w:r>
            <w:rPr>
              <w:rFonts w:hint="eastAsia"/>
              <w:sz w:val="24"/>
              <w:szCs w:val="24"/>
            </w:rPr>
            <w:t>通辽职业学院“资源表”</w:t>
          </w:r>
          <w:r>
            <w:rPr>
              <w:sz w:val="24"/>
              <w:szCs w:val="24"/>
            </w:rPr>
            <w:tab/>
          </w:r>
          <w:r>
            <w:rPr>
              <w:sz w:val="24"/>
              <w:szCs w:val="24"/>
            </w:rPr>
            <w:fldChar w:fldCharType="end"/>
          </w:r>
          <w:r>
            <w:rPr>
              <w:sz w:val="24"/>
              <w:szCs w:val="24"/>
            </w:rPr>
            <w:t>66</w:t>
          </w:r>
        </w:p>
        <w:p>
          <w:pPr>
            <w:pStyle w:val="9"/>
            <w:tabs>
              <w:tab w:val="right" w:leader="dot" w:pos="8306"/>
            </w:tabs>
            <w:rPr>
              <w:sz w:val="24"/>
              <w:szCs w:val="24"/>
            </w:rPr>
          </w:pPr>
          <w:r>
            <w:fldChar w:fldCharType="begin"/>
          </w:r>
          <w:r>
            <w:instrText xml:space="preserve"> HYPERLINK \l "_Toc5619" </w:instrText>
          </w:r>
          <w:r>
            <w:fldChar w:fldCharType="separate"/>
          </w:r>
          <w:r>
            <w:rPr>
              <w:rFonts w:hint="eastAsia"/>
              <w:sz w:val="24"/>
              <w:szCs w:val="24"/>
            </w:rPr>
            <w:t>表4</w:t>
          </w:r>
          <w:r>
            <w:rPr>
              <w:sz w:val="24"/>
              <w:szCs w:val="24"/>
            </w:rPr>
            <w:t xml:space="preserve"> </w:t>
          </w:r>
          <w:r>
            <w:rPr>
              <w:rFonts w:hint="eastAsia"/>
              <w:sz w:val="24"/>
              <w:szCs w:val="24"/>
            </w:rPr>
            <w:t>通辽职业学院“国际影响表”</w:t>
          </w:r>
          <w:r>
            <w:rPr>
              <w:sz w:val="24"/>
              <w:szCs w:val="24"/>
            </w:rPr>
            <w:tab/>
          </w:r>
          <w:r>
            <w:rPr>
              <w:sz w:val="24"/>
              <w:szCs w:val="24"/>
            </w:rPr>
            <w:fldChar w:fldCharType="end"/>
          </w:r>
          <w:r>
            <w:rPr>
              <w:sz w:val="24"/>
              <w:szCs w:val="24"/>
            </w:rPr>
            <w:t>67</w:t>
          </w:r>
        </w:p>
        <w:p>
          <w:pPr>
            <w:pStyle w:val="9"/>
            <w:tabs>
              <w:tab w:val="right" w:leader="dot" w:pos="8306"/>
            </w:tabs>
            <w:rPr>
              <w:sz w:val="24"/>
              <w:szCs w:val="24"/>
            </w:rPr>
          </w:pPr>
          <w:r>
            <w:fldChar w:fldCharType="begin"/>
          </w:r>
          <w:r>
            <w:instrText xml:space="preserve"> HYPERLINK \l "_Toc5619" </w:instrText>
          </w:r>
          <w:r>
            <w:fldChar w:fldCharType="separate"/>
          </w:r>
          <w:r>
            <w:rPr>
              <w:rFonts w:hint="eastAsia"/>
              <w:sz w:val="24"/>
              <w:szCs w:val="24"/>
            </w:rPr>
            <w:t>表5</w:t>
          </w:r>
          <w:r>
            <w:rPr>
              <w:sz w:val="24"/>
              <w:szCs w:val="24"/>
            </w:rPr>
            <w:t xml:space="preserve"> </w:t>
          </w:r>
          <w:r>
            <w:rPr>
              <w:rFonts w:hint="eastAsia"/>
              <w:sz w:val="24"/>
              <w:szCs w:val="24"/>
            </w:rPr>
            <w:t>通辽职业学院“服务贡献表”</w:t>
          </w:r>
          <w:r>
            <w:rPr>
              <w:sz w:val="24"/>
              <w:szCs w:val="24"/>
            </w:rPr>
            <w:tab/>
          </w:r>
          <w:r>
            <w:rPr>
              <w:sz w:val="24"/>
              <w:szCs w:val="24"/>
            </w:rPr>
            <w:fldChar w:fldCharType="end"/>
          </w:r>
          <w:r>
            <w:rPr>
              <w:sz w:val="24"/>
              <w:szCs w:val="24"/>
            </w:rPr>
            <w:t>68</w:t>
          </w:r>
        </w:p>
        <w:p>
          <w:pPr>
            <w:pStyle w:val="9"/>
            <w:tabs>
              <w:tab w:val="right" w:leader="dot" w:pos="8306"/>
            </w:tabs>
            <w:rPr>
              <w:sz w:val="24"/>
              <w:szCs w:val="24"/>
            </w:rPr>
          </w:pPr>
          <w:r>
            <w:fldChar w:fldCharType="begin"/>
          </w:r>
          <w:r>
            <w:instrText xml:space="preserve"> HYPERLINK \l "_Toc5619" </w:instrText>
          </w:r>
          <w:r>
            <w:fldChar w:fldCharType="separate"/>
          </w:r>
          <w:r>
            <w:rPr>
              <w:rFonts w:hint="eastAsia"/>
              <w:sz w:val="24"/>
              <w:szCs w:val="24"/>
            </w:rPr>
            <w:t>表6</w:t>
          </w:r>
          <w:r>
            <w:rPr>
              <w:sz w:val="24"/>
              <w:szCs w:val="24"/>
            </w:rPr>
            <w:t xml:space="preserve"> </w:t>
          </w:r>
          <w:r>
            <w:rPr>
              <w:rFonts w:hint="eastAsia"/>
              <w:sz w:val="24"/>
              <w:szCs w:val="24"/>
            </w:rPr>
            <w:t>通辽职业学院“落实政策表”</w:t>
          </w:r>
          <w:r>
            <w:rPr>
              <w:sz w:val="24"/>
              <w:szCs w:val="24"/>
            </w:rPr>
            <w:tab/>
          </w:r>
          <w:r>
            <w:rPr>
              <w:sz w:val="24"/>
              <w:szCs w:val="24"/>
            </w:rPr>
            <w:fldChar w:fldCharType="end"/>
          </w:r>
          <w:r>
            <w:rPr>
              <w:sz w:val="24"/>
              <w:szCs w:val="24"/>
            </w:rPr>
            <w:t>69</w:t>
          </w:r>
        </w:p>
        <w:p/>
      </w:sdtContent>
    </w:sdt>
    <w:p>
      <w:pPr>
        <w:rPr>
          <w:rFonts w:ascii="方正小标宋简体" w:hAnsi="仿宋" w:eastAsia="方正小标宋简体"/>
          <w:sz w:val="44"/>
          <w:szCs w:val="44"/>
        </w:rPr>
      </w:pPr>
    </w:p>
    <w:p>
      <w:pPr>
        <w:tabs>
          <w:tab w:val="left" w:pos="320"/>
          <w:tab w:val="left" w:pos="6098"/>
        </w:tabs>
        <w:rPr>
          <w:rFonts w:ascii="方正小标宋简体" w:hAnsi="仿宋" w:eastAsia="方正小标宋简体"/>
          <w:sz w:val="44"/>
          <w:szCs w:val="44"/>
        </w:rPr>
      </w:pPr>
      <w:r>
        <w:rPr>
          <w:rFonts w:ascii="方正小标宋简体" w:hAnsi="仿宋" w:eastAsia="方正小标宋简体"/>
          <w:sz w:val="44"/>
          <w:szCs w:val="44"/>
        </w:rPr>
        <w:tab/>
      </w:r>
      <w:r>
        <w:rPr>
          <w:rFonts w:ascii="方正小标宋简体" w:hAnsi="仿宋" w:eastAsia="方正小标宋简体"/>
          <w:sz w:val="44"/>
          <w:szCs w:val="44"/>
        </w:rPr>
        <w:tab/>
      </w: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rPr>
          <w:rFonts w:ascii="方正小标宋简体" w:hAnsi="仿宋" w:eastAsia="方正小标宋简体"/>
          <w:sz w:val="44"/>
          <w:szCs w:val="44"/>
        </w:rPr>
      </w:pPr>
    </w:p>
    <w:p>
      <w:pPr>
        <w:pStyle w:val="2"/>
        <w:sectPr>
          <w:footerReference r:id="rId9" w:type="default"/>
          <w:footerReference r:id="rId10" w:type="even"/>
          <w:pgSz w:w="11906" w:h="16838"/>
          <w:pgMar w:top="1440" w:right="1800" w:bottom="1440" w:left="1800" w:header="851" w:footer="992" w:gutter="0"/>
          <w:pgNumType w:start="1"/>
          <w:cols w:space="425" w:num="1"/>
          <w:docGrid w:type="lines" w:linePitch="312" w:charSpace="0"/>
        </w:sectPr>
      </w:pPr>
      <w:bookmarkStart w:id="0" w:name="_Toc23510"/>
      <w:bookmarkStart w:id="1" w:name="_Toc28254434"/>
    </w:p>
    <w:p>
      <w:pPr>
        <w:pStyle w:val="2"/>
      </w:pPr>
      <w:bookmarkStart w:id="2" w:name="_Toc17112"/>
      <w:r>
        <w:rPr>
          <w:rFonts w:hint="eastAsia"/>
        </w:rPr>
        <w:t>前 言</w:t>
      </w:r>
      <w:bookmarkEnd w:id="0"/>
      <w:bookmarkEnd w:id="1"/>
      <w:bookmarkEnd w:id="2"/>
    </w:p>
    <w:p>
      <w:pPr>
        <w:spacing w:line="440" w:lineRule="exact"/>
        <w:ind w:firstLine="640" w:firstLineChars="200"/>
        <w:rPr>
          <w:rFonts w:asciiTheme="minorEastAsia" w:hAnsiTheme="minorEastAsia"/>
          <w:sz w:val="32"/>
          <w:szCs w:val="32"/>
        </w:rPr>
      </w:pPr>
      <w:r>
        <w:rPr>
          <w:rFonts w:hint="eastAsia" w:asciiTheme="minorEastAsia" w:hAnsiTheme="minorEastAsia"/>
          <w:sz w:val="32"/>
          <w:szCs w:val="32"/>
        </w:rPr>
        <w:t>201</w:t>
      </w:r>
      <w:r>
        <w:rPr>
          <w:rFonts w:asciiTheme="minorEastAsia" w:hAnsiTheme="minorEastAsia"/>
          <w:sz w:val="32"/>
          <w:szCs w:val="32"/>
        </w:rPr>
        <w:t>8</w:t>
      </w:r>
      <w:r>
        <w:rPr>
          <w:rFonts w:hint="eastAsia" w:asciiTheme="minorEastAsia" w:hAnsiTheme="minorEastAsia"/>
          <w:sz w:val="32"/>
          <w:szCs w:val="32"/>
        </w:rPr>
        <w:t>——</w:t>
      </w:r>
      <w:r>
        <w:rPr>
          <w:rFonts w:asciiTheme="minorEastAsia" w:hAnsiTheme="minorEastAsia"/>
          <w:sz w:val="32"/>
          <w:szCs w:val="32"/>
        </w:rPr>
        <w:t>2019学</w:t>
      </w:r>
      <w:r>
        <w:rPr>
          <w:rFonts w:hint="eastAsia" w:asciiTheme="minorEastAsia" w:hAnsiTheme="minorEastAsia"/>
          <w:sz w:val="32"/>
          <w:szCs w:val="32"/>
        </w:rPr>
        <w:t>年度，通辽职业学院继续在培育技术技能人才、服务经济社会发展的办学道路上扎实前行。学院秉承立德树人、服务发展、促进就业的办学宗旨，坚持“德技兼修、知行合一”的核心理念，将“务实 创新”的校风、“严谨 敬业”的教风和“励志 勤学”的学风，有机融入办学治校的各个领域，贯穿教学、管理、服务的各个环节。201</w:t>
      </w:r>
      <w:r>
        <w:rPr>
          <w:rFonts w:asciiTheme="minorEastAsia" w:hAnsiTheme="minorEastAsia"/>
          <w:sz w:val="32"/>
          <w:szCs w:val="32"/>
        </w:rPr>
        <w:t>8</w:t>
      </w:r>
      <w:r>
        <w:rPr>
          <w:rFonts w:hint="eastAsia" w:asciiTheme="minorEastAsia" w:hAnsiTheme="minorEastAsia"/>
          <w:sz w:val="32"/>
          <w:szCs w:val="32"/>
        </w:rPr>
        <w:t>——</w:t>
      </w:r>
      <w:r>
        <w:rPr>
          <w:rFonts w:asciiTheme="minorEastAsia" w:hAnsiTheme="minorEastAsia"/>
          <w:sz w:val="32"/>
          <w:szCs w:val="32"/>
        </w:rPr>
        <w:t>2019学</w:t>
      </w:r>
      <w:r>
        <w:rPr>
          <w:rFonts w:hint="eastAsia" w:asciiTheme="minorEastAsia" w:hAnsiTheme="minorEastAsia"/>
          <w:sz w:val="32"/>
          <w:szCs w:val="32"/>
        </w:rPr>
        <w:t>年度，学院大力实施一手抓高职人才培养、一手抓职业技能培训的“双轮驱动”战略，在现已开设的医药卫生、食品药品与粮食、土木建筑、装备制造、教育与体育、公共管理与服务、财经商贸、旅游、电子信息</w:t>
      </w:r>
      <w:r>
        <w:rPr>
          <w:rFonts w:asciiTheme="minorEastAsia" w:hAnsiTheme="minorEastAsia"/>
          <w:sz w:val="32"/>
          <w:szCs w:val="32"/>
        </w:rPr>
        <w:t>9</w:t>
      </w:r>
      <w:r>
        <w:rPr>
          <w:rFonts w:hint="eastAsia" w:asciiTheme="minorEastAsia" w:hAnsiTheme="minorEastAsia"/>
          <w:sz w:val="32"/>
          <w:szCs w:val="32"/>
        </w:rPr>
        <w:t>大类32个高职专业建设工作中，取得了圆满完成招生任务、教学改革、学生发展、服务社会等取得新成效、《国家职业教育改革实施方案》等政策在校园落地见成果等可喜的办学成绩，涌现出了全国道德模范、全国向上向善好青年周艳梅、辽宁舰舰员纪维桐等一批青年学子和全国思政课教学骨干教师冯庆芳等名师，学院获得全国模范职工之家、内蒙古自治区示范性高等职业院校、自治区园林式单位等荣誉。学院育人环境进一步改善，毕业生质量逐年提高，服务地方经济社会范围逐年扩大，成为“孝庄故里、草原名城”通辽市的一张闪亮名片。</w:t>
      </w:r>
    </w:p>
    <w:p>
      <w:pPr>
        <w:jc w:val="center"/>
        <w:rPr>
          <w:rFonts w:asciiTheme="minorEastAsia" w:hAnsiTheme="minorEastAsia"/>
          <w:sz w:val="32"/>
          <w:szCs w:val="32"/>
        </w:rPr>
      </w:pPr>
      <w:r>
        <w:rPr>
          <w:rFonts w:hint="eastAsia" w:eastAsia="仿宋_GB2312"/>
          <w:b/>
          <w:bCs/>
          <w:sz w:val="32"/>
          <w:szCs w:val="32"/>
        </w:rPr>
        <w:drawing>
          <wp:inline distT="0" distB="0" distL="0" distR="0">
            <wp:extent cx="4966970" cy="2305050"/>
            <wp:effectExtent l="0" t="0" r="5080" b="0"/>
            <wp:docPr id="10" name="图片 10" descr="微信图片_2019122414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122414412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08789" cy="2324457"/>
                    </a:xfrm>
                    <a:prstGeom prst="rect">
                      <a:avLst/>
                    </a:prstGeom>
                  </pic:spPr>
                </pic:pic>
              </a:graphicData>
            </a:graphic>
          </wp:inline>
        </w:drawing>
      </w:r>
    </w:p>
    <w:p>
      <w:pPr>
        <w:pStyle w:val="2"/>
      </w:pPr>
      <w:bookmarkStart w:id="3" w:name="_Toc31475"/>
      <w:bookmarkStart w:id="4" w:name="_Toc28254435"/>
      <w:bookmarkStart w:id="5" w:name="_Toc12817"/>
      <w:r>
        <w:rPr>
          <w:rFonts w:hint="eastAsia"/>
        </w:rPr>
        <w:t>1</w:t>
      </w:r>
      <w:r>
        <w:t xml:space="preserve"> </w:t>
      </w:r>
      <w:r>
        <w:rPr>
          <w:rFonts w:hint="eastAsia"/>
        </w:rPr>
        <w:t>学生发展</w:t>
      </w:r>
      <w:bookmarkEnd w:id="3"/>
      <w:bookmarkEnd w:id="4"/>
      <w:bookmarkEnd w:id="5"/>
    </w:p>
    <w:p>
      <w:pPr>
        <w:pStyle w:val="3"/>
      </w:pPr>
      <w:bookmarkStart w:id="6" w:name="_Toc7307"/>
      <w:bookmarkStart w:id="7" w:name="_Toc28254436"/>
      <w:r>
        <w:rPr>
          <w:rFonts w:hint="eastAsia"/>
        </w:rPr>
        <w:t>1.1 立德树人</w:t>
      </w:r>
      <w:bookmarkEnd w:id="6"/>
      <w:bookmarkEnd w:id="7"/>
    </w:p>
    <w:p>
      <w:pPr>
        <w:ind w:firstLine="640" w:firstLineChars="200"/>
        <w:rPr>
          <w:rFonts w:asciiTheme="minorEastAsia" w:hAnsiTheme="minorEastAsia"/>
          <w:sz w:val="32"/>
          <w:szCs w:val="32"/>
        </w:rPr>
      </w:pPr>
      <w:r>
        <w:rPr>
          <w:rFonts w:hint="eastAsia" w:asciiTheme="minorEastAsia" w:hAnsiTheme="minorEastAsia"/>
          <w:sz w:val="32"/>
          <w:szCs w:val="32"/>
        </w:rPr>
        <w:t>学院坚持把立德树人作为教育的根本任务和中心环节，紧紧抓住思想政治工作这条生命线，把思想政治工作贯穿教育教学全过程，重视道德建设，注重学生品德培养，深入推进全员育人、全过程育人、全方位育人。邀请国内知名专家、教授作意识形态领域和网络安全方面专题讲座，提高广大师生认识，增强行动自觉。发挥理论政策宣讲团、“学习讲堂”作用，邀请国内知名专家学者到校讲座，办好形势政策报告会，全面加强思想理论武装。相继建成校史馆、党建宣教中心、庆祝新中国成立70周年“办学成果展”三大党建思政教育基地，面向全院师生全天候开放。将思政课作为关键环节，以课堂教学为主渠道，大力推进思政课改革创新，打造思政教师、思政阵地、思政课程三大资源库，深化思政教学改革，建立思政课教师奖惩制度和教学质量考评体系。领导班子、教学系部负责人纷纷走上讲台，带头为学生上思政课，引导广大学生志存高远，始终听党话，跟党走。在全区首创成立公寓思政教师队伍，建立了学生公寓党支部和党员联系宿舍制度，扭转了过去公寓党建弱化淡化的局面。组织学生每天晨读进行3分钟思政主题演讲，每晚自习集中收看新闻联播和“信</w:t>
      </w:r>
      <w:r>
        <w:rPr>
          <w:rFonts w:hint="eastAsia" w:cs="微软雅黑" w:asciiTheme="minorEastAsia" w:hAnsiTheme="minorEastAsia"/>
          <w:sz w:val="32"/>
          <w:szCs w:val="32"/>
        </w:rPr>
        <w:t>•</w:t>
      </w:r>
      <w:r>
        <w:rPr>
          <w:rFonts w:hint="eastAsia" w:cs="仿宋" w:asciiTheme="minorEastAsia" w:hAnsiTheme="minorEastAsia"/>
          <w:sz w:val="32"/>
          <w:szCs w:val="32"/>
        </w:rPr>
        <w:t>中国”等节目，将社会主义核心价值观贯穿于教育教学全过程。组织“最美大学生”</w:t>
      </w:r>
      <w:r>
        <w:rPr>
          <w:rFonts w:hint="eastAsia" w:asciiTheme="minorEastAsia" w:hAnsiTheme="minorEastAsia"/>
          <w:sz w:val="32"/>
          <w:szCs w:val="32"/>
        </w:rPr>
        <w:t>、“最美教师”、“最美职工”、“最美家庭”和年度“双十佳”教师、党建工作“两优一先”评选等活动，选树先进典型，宣传身边榜样。</w:t>
      </w:r>
    </w:p>
    <w:p>
      <w:pPr>
        <w:rPr>
          <w:rFonts w:ascii="仿宋" w:hAnsi="仿宋" w:eastAsia="仿宋"/>
          <w:sz w:val="32"/>
          <w:szCs w:val="32"/>
        </w:rPr>
      </w:pPr>
      <w:r>
        <w:rPr>
          <w:rFonts w:hint="eastAsia" w:ascii="仿宋" w:hAnsi="仿宋" w:eastAsia="仿宋"/>
          <w:color w:val="C55A11" w:themeColor="accent2" w:themeShade="BF"/>
          <w:sz w:val="32"/>
          <w:szCs w:val="32"/>
        </w:rPr>
        <w:t>【案例1】孝老爱亲 崇德向善——全国道德模范、全国向上向善好青年周艳梅</w:t>
      </w:r>
    </w:p>
    <w:p>
      <w:pPr>
        <w:ind w:firstLine="640" w:firstLineChars="200"/>
        <w:rPr>
          <w:rFonts w:ascii="仿宋" w:hAnsi="仿宋" w:eastAsia="仿宋"/>
          <w:sz w:val="32"/>
          <w:szCs w:val="32"/>
        </w:rPr>
      </w:pPr>
      <w:r>
        <w:rPr>
          <w:rFonts w:hint="eastAsia" w:ascii="仿宋" w:hAnsi="仿宋" w:eastAsia="仿宋"/>
          <w:sz w:val="32"/>
          <w:szCs w:val="32"/>
        </w:rPr>
        <w:t>周艳梅，通辽职业学院2016级护理七班学生。她从9岁开始照顾高位截瘫的养母和患有脑血栓的养父，十几年来，她克服重重困难，边上学、边种地打工、边照顾父母，谱写一曲新时代的反哺乐章。2016年入我院护理系学习以来，学院对她进行了减免学费、安排勤工俭学等帮扶。勤奋好学的周艳梅没有辜负大家的期望，担任班长并保持学习成绩名列前茅，成为老师的得力助手、同学的学习榜样。因其突出表现，周艳梅被评为内蒙古自治区“孝老爱亲”道德模范、内蒙古自治区大学生“桃李之星”、“中国好人榜”孝老爱亲好人、第六届全国“孝老爱亲”道德模范，2019年被评为“全国向上向善好青年”，并在人民大会堂得到习近平总书记的亲切接见。周艳梅作为一名大学生，以其不平凡的人生经历、在困难面前永不服输的奋斗精神，树立了通辽职业学院正能量，传递了人间大爱，弘扬了中华民族纯朴的孝老爱亲传统美德。</w:t>
      </w:r>
    </w:p>
    <w:p>
      <w:pPr>
        <w:rPr>
          <w:rFonts w:ascii="仿宋" w:hAnsi="仿宋" w:eastAsia="仿宋"/>
          <w:sz w:val="32"/>
          <w:szCs w:val="32"/>
        </w:rPr>
      </w:pPr>
      <w:r>
        <w:rPr>
          <w:rFonts w:ascii="仿宋_GB2312" w:hAnsi="仿宋_GB2312" w:eastAsia="仿宋_GB2312" w:cs="仿宋_GB2312"/>
          <w:sz w:val="32"/>
          <w:szCs w:val="32"/>
        </w:rPr>
        <w:pict>
          <v:shape id="_x0000_i1025" o:spt="75" type="#_x0000_t75" style="height:192pt;width:415.15pt;" filled="f" o:preferrelative="t" stroked="f" coordsize="21600,21600">
            <v:path/>
            <v:fill on="f" focussize="0,0"/>
            <v:stroke on="f" joinstyle="miter"/>
            <v:imagedata r:id="rId21" o:title="5F0F6B07-B6E1-4a8f-B9AB-E2154AC5267E"/>
            <o:lock v:ext="edit" aspectratio="t"/>
            <w10:wrap type="none"/>
            <w10:anchorlock/>
          </v:shape>
        </w:pict>
      </w:r>
    </w:p>
    <w:p>
      <w:pPr>
        <w:jc w:val="center"/>
        <w:rPr>
          <w:rFonts w:ascii="仿宋" w:hAnsi="仿宋" w:eastAsia="仿宋"/>
          <w:b/>
          <w:sz w:val="24"/>
          <w:szCs w:val="24"/>
        </w:rPr>
      </w:pPr>
      <w:r>
        <w:rPr>
          <w:rFonts w:hint="eastAsia" w:ascii="仿宋" w:hAnsi="仿宋" w:eastAsia="仿宋"/>
          <w:b/>
          <w:color w:val="C55A11" w:themeColor="accent2" w:themeShade="BF"/>
          <w:sz w:val="24"/>
          <w:szCs w:val="24"/>
        </w:rPr>
        <w:t>图1-1：</w:t>
      </w:r>
      <w:r>
        <w:rPr>
          <w:rFonts w:hint="eastAsia" w:ascii="仿宋" w:hAnsi="仿宋" w:eastAsia="仿宋"/>
          <w:b/>
          <w:sz w:val="24"/>
          <w:szCs w:val="24"/>
        </w:rPr>
        <w:t>全国道德模范周艳梅在北京人民大会堂与中国核潜艇之父黄旭华合影</w:t>
      </w:r>
    </w:p>
    <w:p>
      <w:pPr>
        <w:rPr>
          <w:rFonts w:ascii="仿宋" w:hAnsi="仿宋" w:eastAsia="仿宋"/>
          <w:color w:val="C55A11" w:themeColor="accent2" w:themeShade="BF"/>
          <w:sz w:val="32"/>
          <w:szCs w:val="32"/>
        </w:rPr>
      </w:pPr>
      <w:r>
        <w:rPr>
          <w:rFonts w:hint="eastAsia" w:ascii="仿宋" w:hAnsi="仿宋" w:eastAsia="仿宋"/>
          <w:color w:val="C55A11" w:themeColor="accent2" w:themeShade="BF"/>
          <w:sz w:val="32"/>
          <w:szCs w:val="32"/>
        </w:rPr>
        <w:t>【案例2】通辽职业学院的骄傲——中国第一艘航母辽宁舰舰员纪维桐</w:t>
      </w:r>
    </w:p>
    <w:p>
      <w:pPr>
        <w:ind w:firstLine="640" w:firstLineChars="200"/>
        <w:rPr>
          <w:rFonts w:ascii="仿宋" w:hAnsi="仿宋" w:eastAsia="仿宋"/>
          <w:sz w:val="32"/>
          <w:szCs w:val="32"/>
        </w:rPr>
      </w:pPr>
      <w:r>
        <w:rPr>
          <w:rFonts w:hint="eastAsia" w:ascii="仿宋" w:hAnsi="仿宋" w:eastAsia="仿宋"/>
          <w:sz w:val="32"/>
          <w:szCs w:val="32"/>
        </w:rPr>
        <w:t>纪维桐是通辽职业学院师范教育系14级初等教育语文班学生。在校期间，纪维桐作为优秀学生干部多次获得表彰。2016年9月，他应征入伍，经过严酷训练，纪维桐从众多新兵中脱颖而出，成为中国第一艘航母辽宁舰舰员，并光荣地加入中国共产党，参与辽宁舰访问香港任务和南海阅兵任务，并接受了习近平总书记的检阅。2018年9月，为了完成学业，纪维桐毅然选择回到通辽职业学院师范教育系继续学习。他说，作为一名党员，在辽宁号航母上的军旅生活让他明白，知识就是力量，只有专业化的基础知识、深厚的文化底蕴，才能肩负起实现中华民族伟大复兴的历史使命。</w:t>
      </w:r>
    </w:p>
    <w:p>
      <w:pPr>
        <w:rPr>
          <w:rFonts w:ascii="仿宋" w:hAnsi="仿宋" w:eastAsia="仿宋"/>
          <w:sz w:val="32"/>
          <w:szCs w:val="32"/>
        </w:rPr>
      </w:pPr>
      <w:r>
        <w:rPr>
          <w:rFonts w:ascii="仿宋_GB2312" w:hAnsi="仿宋_GB2312" w:eastAsia="仿宋_GB2312" w:cs="仿宋_GB2312"/>
          <w:sz w:val="32"/>
          <w:szCs w:val="32"/>
        </w:rPr>
        <w:pict>
          <v:shape id="_x0000_i1026" o:spt="75" type="#_x0000_t75" style="height:192.05pt;width:414.8pt;" filled="f" o:preferrelative="t" stroked="f" coordsize="21600,21600">
            <v:path/>
            <v:fill on="f" focussize="0,0"/>
            <v:stroke on="f" joinstyle="miter"/>
            <v:imagedata r:id="rId22" o:title="5F0F6B07-B6E1-4a8f-B9AB-E2154AC5267E"/>
            <o:lock v:ext="edit" aspectratio="t"/>
            <w10:wrap type="none"/>
            <w10:anchorlock/>
          </v:shape>
        </w:pict>
      </w:r>
    </w:p>
    <w:p>
      <w:pPr>
        <w:jc w:val="center"/>
        <w:rPr>
          <w:rFonts w:ascii="仿宋" w:hAnsi="仿宋" w:eastAsia="仿宋"/>
          <w:b/>
          <w:sz w:val="24"/>
          <w:szCs w:val="24"/>
        </w:rPr>
      </w:pPr>
      <w:r>
        <w:rPr>
          <w:rFonts w:hint="eastAsia" w:ascii="仿宋" w:hAnsi="仿宋" w:eastAsia="仿宋"/>
          <w:b/>
          <w:color w:val="C55A11" w:themeColor="accent2" w:themeShade="BF"/>
          <w:sz w:val="24"/>
          <w:szCs w:val="24"/>
        </w:rPr>
        <w:t>图1-2：</w:t>
      </w:r>
      <w:r>
        <w:rPr>
          <w:rFonts w:hint="eastAsia" w:ascii="仿宋" w:hAnsi="仿宋" w:eastAsia="仿宋"/>
          <w:b/>
          <w:sz w:val="24"/>
          <w:szCs w:val="24"/>
        </w:rPr>
        <w:t>辽宁舰舰员纪维桐（前排右一）</w:t>
      </w:r>
    </w:p>
    <w:p>
      <w:pPr>
        <w:rPr>
          <w:rFonts w:ascii="仿宋" w:hAnsi="仿宋" w:eastAsia="仿宋"/>
          <w:sz w:val="32"/>
          <w:szCs w:val="32"/>
        </w:rPr>
      </w:pPr>
      <w:r>
        <w:rPr>
          <w:rFonts w:hint="eastAsia" w:ascii="仿宋" w:hAnsi="仿宋" w:eastAsia="仿宋"/>
          <w:color w:val="C55A11" w:themeColor="accent2" w:themeShade="BF"/>
          <w:sz w:val="32"/>
          <w:szCs w:val="32"/>
        </w:rPr>
        <w:t>【案例3】不忘初心、牢记使命 厚植爱国主义情怀</w:t>
      </w:r>
    </w:p>
    <w:p>
      <w:pPr>
        <w:ind w:firstLine="640" w:firstLineChars="200"/>
        <w:rPr>
          <w:rFonts w:ascii="仿宋" w:hAnsi="仿宋" w:eastAsia="仿宋"/>
          <w:sz w:val="32"/>
          <w:szCs w:val="32"/>
        </w:rPr>
      </w:pPr>
      <w:r>
        <w:rPr>
          <w:rFonts w:hint="eastAsia" w:ascii="仿宋" w:hAnsi="仿宋" w:eastAsia="仿宋"/>
          <w:sz w:val="32"/>
          <w:szCs w:val="32"/>
        </w:rPr>
        <w:t>学院深入贯彻落实党的教育方针，把党建思政作为办学治校的基本功，加强师生对中国外交形势的认识，引导师生全面客观地了解中国国情、正确看待外部世界，厚植爱国主义情怀。在庆祝中华人民共和国成立70周年之际，结合“不忘初心、牢记使命”主题教育，学院邀请中国关工委常务副主任武韬（曾任外交人员服务局中文秘书，外交人员服务局局长，驻葡萄牙大使，外交部部长助理、部党委委员，驻俄罗斯大使，驻澳大利亚大使。）作庆祝新中国成立70周年国际形势政策报告会。</w:t>
      </w:r>
    </w:p>
    <w:p>
      <w:pPr>
        <w:rPr>
          <w:rFonts w:ascii="仿宋" w:hAnsi="仿宋" w:eastAsia="仿宋"/>
          <w:sz w:val="32"/>
          <w:szCs w:val="32"/>
        </w:rPr>
      </w:pPr>
      <w:r>
        <w:rPr>
          <w:rFonts w:hint="eastAsia" w:ascii="仿宋_GB2312" w:hAnsi="仿宋_GB2312" w:eastAsia="仿宋_GB2312" w:cs="仿宋_GB2312"/>
          <w:sz w:val="32"/>
          <w:szCs w:val="32"/>
        </w:rPr>
        <w:drawing>
          <wp:inline distT="0" distB="0" distL="0" distR="0">
            <wp:extent cx="5274310" cy="3512185"/>
            <wp:effectExtent l="0" t="0" r="2540" b="0"/>
            <wp:docPr id="3" name="图片 3" descr="IMG_6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645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3512225"/>
                    </a:xfrm>
                    <a:prstGeom prst="rect">
                      <a:avLst/>
                    </a:prstGeom>
                    <a:noFill/>
                    <a:ln>
                      <a:noFill/>
                    </a:ln>
                  </pic:spPr>
                </pic:pic>
              </a:graphicData>
            </a:graphic>
          </wp:inline>
        </w:drawing>
      </w:r>
    </w:p>
    <w:p>
      <w:pPr>
        <w:jc w:val="center"/>
        <w:rPr>
          <w:rFonts w:ascii="仿宋" w:hAnsi="仿宋" w:eastAsia="仿宋"/>
          <w:b/>
          <w:sz w:val="24"/>
          <w:szCs w:val="24"/>
        </w:rPr>
      </w:pPr>
      <w:r>
        <w:rPr>
          <w:rFonts w:hint="eastAsia" w:ascii="仿宋" w:hAnsi="仿宋" w:eastAsia="仿宋"/>
          <w:b/>
          <w:color w:val="C55A11" w:themeColor="accent2" w:themeShade="BF"/>
          <w:sz w:val="24"/>
          <w:szCs w:val="24"/>
        </w:rPr>
        <w:t>图1-3：</w:t>
      </w:r>
      <w:r>
        <w:rPr>
          <w:rFonts w:hint="eastAsia" w:ascii="仿宋" w:hAnsi="仿宋" w:eastAsia="仿宋"/>
          <w:b/>
          <w:sz w:val="24"/>
          <w:szCs w:val="24"/>
        </w:rPr>
        <w:t>庆祝新中国成立70周年国际形势政策报告会</w:t>
      </w:r>
    </w:p>
    <w:p>
      <w:pPr>
        <w:pStyle w:val="3"/>
      </w:pPr>
      <w:bookmarkStart w:id="8" w:name="_Toc11788"/>
      <w:bookmarkStart w:id="9" w:name="_Toc28254437"/>
      <w:r>
        <w:rPr>
          <w:rFonts w:hint="eastAsia"/>
        </w:rPr>
        <w:t>1.2</w:t>
      </w:r>
      <w:r>
        <w:t xml:space="preserve"> </w:t>
      </w:r>
      <w:r>
        <w:rPr>
          <w:rFonts w:hint="eastAsia"/>
        </w:rPr>
        <w:t>就业质量</w:t>
      </w:r>
      <w:bookmarkEnd w:id="8"/>
      <w:bookmarkEnd w:id="9"/>
    </w:p>
    <w:p>
      <w:pPr>
        <w:ind w:firstLine="640" w:firstLineChars="200"/>
        <w:rPr>
          <w:rFonts w:asciiTheme="minorEastAsia" w:hAnsiTheme="minorEastAsia" w:cstheme="minorEastAsia"/>
          <w:sz w:val="32"/>
          <w:szCs w:val="32"/>
        </w:rPr>
      </w:pPr>
      <w:r>
        <w:rPr>
          <w:rFonts w:hint="eastAsia" w:asciiTheme="minorEastAsia" w:hAnsiTheme="minorEastAsia"/>
          <w:sz w:val="32"/>
          <w:szCs w:val="32"/>
        </w:rPr>
        <w:t>学院近3届毕业生就业情况总体良好，稳定在9</w:t>
      </w:r>
      <w:r>
        <w:rPr>
          <w:rFonts w:asciiTheme="minorEastAsia" w:hAnsiTheme="minorEastAsia"/>
          <w:sz w:val="32"/>
          <w:szCs w:val="32"/>
        </w:rPr>
        <w:t>0</w:t>
      </w:r>
      <w:r>
        <w:rPr>
          <w:rFonts w:hint="eastAsia" w:asciiTheme="minorEastAsia" w:hAnsiTheme="minorEastAsia"/>
          <w:sz w:val="32"/>
          <w:szCs w:val="32"/>
        </w:rPr>
        <w:t>%以上，201</w:t>
      </w:r>
      <w:r>
        <w:rPr>
          <w:rFonts w:asciiTheme="minorEastAsia" w:hAnsiTheme="minorEastAsia"/>
          <w:sz w:val="32"/>
          <w:szCs w:val="32"/>
        </w:rPr>
        <w:t>8</w:t>
      </w:r>
      <w:r>
        <w:rPr>
          <w:rFonts w:hint="eastAsia" w:asciiTheme="minorEastAsia" w:hAnsiTheme="minorEastAsia"/>
          <w:sz w:val="32"/>
          <w:szCs w:val="32"/>
        </w:rPr>
        <w:t>届毕业生年终就业率创新高，达98.</w:t>
      </w:r>
      <w:r>
        <w:rPr>
          <w:rFonts w:asciiTheme="minorEastAsia" w:hAnsiTheme="minorEastAsia"/>
          <w:sz w:val="32"/>
          <w:szCs w:val="32"/>
        </w:rPr>
        <w:t>30</w:t>
      </w:r>
      <w:r>
        <w:rPr>
          <w:rFonts w:hint="eastAsia" w:asciiTheme="minorEastAsia" w:hAnsiTheme="minorEastAsia"/>
          <w:sz w:val="32"/>
          <w:szCs w:val="32"/>
        </w:rPr>
        <w:t>%。据高等职业院校人才培养工作状态工作数据采集与管理系统和学院创业就业处跟踪调查报告数据显示，我院毕业生薪资、满意度、稳定性等就业质量指标在区内同类院校中处于前列。</w:t>
      </w:r>
      <w:r>
        <w:rPr>
          <w:rFonts w:hint="eastAsia" w:asciiTheme="minorEastAsia" w:hAnsiTheme="minorEastAsia" w:cstheme="minorEastAsia"/>
          <w:sz w:val="32"/>
          <w:szCs w:val="32"/>
          <w:lang w:bidi="ar"/>
        </w:rPr>
        <w:t>内蒙古自治区通辽市一直是学院毕业生就业首选地，学院先后与通辽市多个旗县市区签订了就业合作协议，引导毕业生在本市、区内和东三省实习就业、创新创业。2018 届毕业生区内就业比例为67.84%，为我区经济社会发展提供了有力的技术技能型人才保障。</w:t>
      </w:r>
    </w:p>
    <w:p>
      <w:pPr>
        <w:widowControl/>
        <w:ind w:firstLine="640" w:firstLineChars="200"/>
        <w:jc w:val="left"/>
        <w:rPr>
          <w:rFonts w:asciiTheme="minorEastAsia" w:hAnsiTheme="minorEastAsia"/>
          <w:sz w:val="32"/>
          <w:szCs w:val="32"/>
        </w:rPr>
      </w:pPr>
      <w:r>
        <w:rPr>
          <w:rFonts w:hint="eastAsia" w:asciiTheme="minorEastAsia" w:hAnsiTheme="minorEastAsia" w:cstheme="minorEastAsia"/>
          <w:sz w:val="32"/>
          <w:szCs w:val="32"/>
          <w:lang w:bidi="ar"/>
        </w:rPr>
        <w:t>学院认真贯彻落实《关于教育支持社会服务产业发展 提高紧缺人才培养培训质量的意见》要求，据创业就业处跟踪调查报告数据显示，学院近3届毕业生就业集中在医疗卫生服务业、现代家庭服务业、教育服务业、蒙医制药、机械制造等三产服务行业和地方经济发展重点产业，有效地服务了国家战略和地方经济建设。毕业生入职在行业内有影响力的企业，员工培训机制健全、职业发展通道畅通，就业现状满意度相对较高。</w:t>
      </w:r>
    </w:p>
    <w:p>
      <w:pPr>
        <w:rPr>
          <w:rFonts w:ascii="仿宋" w:hAnsi="仿宋" w:eastAsia="仿宋"/>
          <w:sz w:val="32"/>
          <w:szCs w:val="32"/>
        </w:rPr>
      </w:pPr>
      <w:r>
        <w:rPr>
          <w:rFonts w:ascii="仿宋" w:hAnsi="仿宋" w:eastAsia="仿宋"/>
          <w:sz w:val="32"/>
          <w:szCs w:val="32"/>
        </w:rPr>
        <w:drawing>
          <wp:inline distT="0" distB="0" distL="0" distR="0">
            <wp:extent cx="5274310" cy="3076575"/>
            <wp:effectExtent l="0" t="0" r="254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jc w:val="center"/>
        <w:rPr>
          <w:rFonts w:ascii="仿宋" w:hAnsi="仿宋" w:eastAsia="仿宋"/>
          <w:b/>
          <w:sz w:val="24"/>
          <w:szCs w:val="24"/>
        </w:rPr>
      </w:pPr>
      <w:r>
        <w:rPr>
          <w:rFonts w:hint="eastAsia" w:ascii="仿宋" w:hAnsi="仿宋" w:eastAsia="仿宋"/>
          <w:b/>
          <w:color w:val="C55A11" w:themeColor="accent2" w:themeShade="BF"/>
          <w:sz w:val="24"/>
          <w:szCs w:val="24"/>
        </w:rPr>
        <w:t>图1-</w:t>
      </w:r>
      <w:r>
        <w:rPr>
          <w:rFonts w:ascii="仿宋" w:hAnsi="仿宋" w:eastAsia="仿宋"/>
          <w:b/>
          <w:color w:val="C55A11" w:themeColor="accent2" w:themeShade="BF"/>
          <w:sz w:val="24"/>
          <w:szCs w:val="24"/>
        </w:rPr>
        <w:t>4</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学院近8年毕业生就业情况趋势图</w:t>
      </w:r>
    </w:p>
    <w:p>
      <w:pPr>
        <w:jc w:val="center"/>
        <w:rPr>
          <w:rFonts w:ascii="仿宋" w:hAnsi="仿宋" w:eastAsia="仿宋"/>
          <w:b/>
          <w:sz w:val="24"/>
          <w:szCs w:val="24"/>
        </w:rPr>
      </w:pPr>
      <w:r>
        <w:rPr>
          <w:rFonts w:hint="eastAsia" w:ascii="仿宋" w:hAnsi="仿宋" w:eastAsia="仿宋"/>
          <w:b/>
          <w:sz w:val="24"/>
          <w:szCs w:val="24"/>
        </w:rPr>
        <w:t>▲</w:t>
      </w:r>
      <w:r>
        <w:rPr>
          <w:rFonts w:hint="eastAsia" w:ascii="黑体" w:hAnsi="黑体" w:eastAsia="黑体"/>
          <w:sz w:val="24"/>
          <w:szCs w:val="24"/>
        </w:rPr>
        <w:t>数据来源：中国高职院校数据监测中心</w:t>
      </w:r>
    </w:p>
    <w:p>
      <w:pPr>
        <w:spacing w:before="312" w:beforeLines="100"/>
        <w:jc w:val="center"/>
        <w:rPr>
          <w:rFonts w:ascii="仿宋" w:hAnsi="仿宋" w:eastAsia="仿宋"/>
          <w:b/>
          <w:sz w:val="24"/>
          <w:szCs w:val="24"/>
        </w:rPr>
      </w:pPr>
      <w:r>
        <w:rPr>
          <w:rFonts w:ascii="仿宋" w:hAnsi="仿宋" w:eastAsia="仿宋"/>
          <w:b/>
          <w:sz w:val="24"/>
          <w:szCs w:val="24"/>
        </w:rPr>
        <w:t>表</w:t>
      </w:r>
      <w:r>
        <w:rPr>
          <w:rFonts w:hint="eastAsia" w:ascii="仿宋" w:hAnsi="仿宋" w:eastAsia="仿宋"/>
          <w:b/>
          <w:sz w:val="24"/>
          <w:szCs w:val="24"/>
        </w:rPr>
        <w:t>1-</w:t>
      </w:r>
      <w:r>
        <w:rPr>
          <w:rFonts w:ascii="仿宋" w:hAnsi="仿宋" w:eastAsia="仿宋"/>
          <w:b/>
          <w:sz w:val="24"/>
          <w:szCs w:val="24"/>
        </w:rPr>
        <w:t>1</w:t>
      </w:r>
      <w:r>
        <w:rPr>
          <w:rFonts w:hint="eastAsia" w:ascii="仿宋" w:hAnsi="仿宋" w:eastAsia="仿宋"/>
          <w:b/>
          <w:sz w:val="24"/>
          <w:szCs w:val="24"/>
        </w:rPr>
        <w:t xml:space="preserve"> 通辽职业学院“计分卡”</w:t>
      </w:r>
    </w:p>
    <w:tbl>
      <w:tblPr>
        <w:tblStyle w:val="11"/>
        <w:tblW w:w="8300" w:type="dxa"/>
        <w:tblInd w:w="0" w:type="dxa"/>
        <w:tblLayout w:type="fixed"/>
        <w:tblCellMar>
          <w:top w:w="0" w:type="dxa"/>
          <w:left w:w="0" w:type="dxa"/>
          <w:bottom w:w="0" w:type="dxa"/>
          <w:right w:w="0" w:type="dxa"/>
        </w:tblCellMar>
      </w:tblPr>
      <w:tblGrid>
        <w:gridCol w:w="841"/>
        <w:gridCol w:w="3119"/>
        <w:gridCol w:w="1020"/>
        <w:gridCol w:w="1660"/>
        <w:gridCol w:w="1660"/>
      </w:tblGrid>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序号</w:t>
            </w:r>
          </w:p>
        </w:tc>
        <w:tc>
          <w:tcPr>
            <w:tcW w:w="3119"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指标</w:t>
            </w:r>
          </w:p>
        </w:tc>
        <w:tc>
          <w:tcPr>
            <w:tcW w:w="1020"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单位</w:t>
            </w:r>
          </w:p>
        </w:tc>
        <w:tc>
          <w:tcPr>
            <w:tcW w:w="1660"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2018年</w:t>
            </w:r>
          </w:p>
        </w:tc>
        <w:tc>
          <w:tcPr>
            <w:tcW w:w="1660"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2019年</w:t>
            </w:r>
          </w:p>
        </w:tc>
      </w:tr>
      <w:tr>
        <w:tblPrEx>
          <w:tblLayout w:type="fixed"/>
          <w:tblCellMar>
            <w:top w:w="0" w:type="dxa"/>
            <w:left w:w="0" w:type="dxa"/>
            <w:bottom w:w="0" w:type="dxa"/>
            <w:right w:w="0" w:type="dxa"/>
          </w:tblCellMar>
        </w:tblPrEx>
        <w:tc>
          <w:tcPr>
            <w:tcW w:w="841" w:type="dxa"/>
            <w:tcBorders>
              <w:top w:val="single" w:color="FFFFFF" w:sz="24"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w:t>
            </w:r>
          </w:p>
        </w:tc>
        <w:tc>
          <w:tcPr>
            <w:tcW w:w="3119"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就业率</w:t>
            </w:r>
          </w:p>
        </w:tc>
        <w:tc>
          <w:tcPr>
            <w:tcW w:w="1020"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w:t>
            </w:r>
          </w:p>
        </w:tc>
        <w:tc>
          <w:tcPr>
            <w:tcW w:w="1660"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93.62</w:t>
            </w:r>
          </w:p>
        </w:tc>
        <w:tc>
          <w:tcPr>
            <w:tcW w:w="1660"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90.39</w:t>
            </w:r>
          </w:p>
        </w:tc>
      </w:tr>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w:t>
            </w:r>
          </w:p>
        </w:tc>
        <w:tc>
          <w:tcPr>
            <w:tcW w:w="3119"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月收入</w:t>
            </w:r>
          </w:p>
        </w:tc>
        <w:tc>
          <w:tcPr>
            <w:tcW w:w="102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元</w:t>
            </w:r>
          </w:p>
        </w:tc>
        <w:tc>
          <w:tcPr>
            <w:tcW w:w="166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2374.73</w:t>
            </w:r>
          </w:p>
        </w:tc>
        <w:tc>
          <w:tcPr>
            <w:tcW w:w="166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2072.14</w:t>
            </w:r>
          </w:p>
        </w:tc>
      </w:tr>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3</w:t>
            </w:r>
          </w:p>
        </w:tc>
        <w:tc>
          <w:tcPr>
            <w:tcW w:w="3119"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理工农医类专业相关度</w:t>
            </w:r>
          </w:p>
        </w:tc>
        <w:tc>
          <w:tcPr>
            <w:tcW w:w="102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w:t>
            </w:r>
          </w:p>
        </w:tc>
        <w:tc>
          <w:tcPr>
            <w:tcW w:w="166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93.71</w:t>
            </w:r>
          </w:p>
        </w:tc>
        <w:tc>
          <w:tcPr>
            <w:tcW w:w="166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92.45</w:t>
            </w:r>
          </w:p>
        </w:tc>
      </w:tr>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4</w:t>
            </w:r>
          </w:p>
        </w:tc>
        <w:tc>
          <w:tcPr>
            <w:tcW w:w="3119"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母校满意度</w:t>
            </w:r>
          </w:p>
        </w:tc>
        <w:tc>
          <w:tcPr>
            <w:tcW w:w="102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w:t>
            </w:r>
          </w:p>
        </w:tc>
        <w:tc>
          <w:tcPr>
            <w:tcW w:w="166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99</w:t>
            </w:r>
          </w:p>
        </w:tc>
        <w:tc>
          <w:tcPr>
            <w:tcW w:w="166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98</w:t>
            </w:r>
          </w:p>
        </w:tc>
      </w:tr>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5</w:t>
            </w:r>
          </w:p>
        </w:tc>
        <w:tc>
          <w:tcPr>
            <w:tcW w:w="3119"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自主创业比例</w:t>
            </w:r>
          </w:p>
        </w:tc>
        <w:tc>
          <w:tcPr>
            <w:tcW w:w="102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w:t>
            </w:r>
          </w:p>
        </w:tc>
        <w:tc>
          <w:tcPr>
            <w:tcW w:w="166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0</w:t>
            </w:r>
          </w:p>
        </w:tc>
        <w:tc>
          <w:tcPr>
            <w:tcW w:w="166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0</w:t>
            </w:r>
          </w:p>
        </w:tc>
      </w:tr>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6</w:t>
            </w:r>
          </w:p>
        </w:tc>
        <w:tc>
          <w:tcPr>
            <w:tcW w:w="3119"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雇主满意度</w:t>
            </w:r>
          </w:p>
        </w:tc>
        <w:tc>
          <w:tcPr>
            <w:tcW w:w="102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w:t>
            </w:r>
          </w:p>
        </w:tc>
        <w:tc>
          <w:tcPr>
            <w:tcW w:w="166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98.26</w:t>
            </w:r>
          </w:p>
        </w:tc>
        <w:tc>
          <w:tcPr>
            <w:tcW w:w="1660"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99.67</w:t>
            </w:r>
          </w:p>
        </w:tc>
      </w:tr>
      <w:tr>
        <w:tblPrEx>
          <w:tblLayout w:type="fixed"/>
          <w:tblCellMar>
            <w:top w:w="0" w:type="dxa"/>
            <w:left w:w="0" w:type="dxa"/>
            <w:bottom w:w="0" w:type="dxa"/>
            <w:right w:w="0" w:type="dxa"/>
          </w:tblCellMar>
        </w:tblPrEx>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7</w:t>
            </w:r>
          </w:p>
        </w:tc>
        <w:tc>
          <w:tcPr>
            <w:tcW w:w="3119"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毕业三年职位晋升比例</w:t>
            </w:r>
          </w:p>
        </w:tc>
        <w:tc>
          <w:tcPr>
            <w:tcW w:w="102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仿宋" w:hAnsi="仿宋" w:eastAsia="仿宋"/>
                <w:sz w:val="24"/>
                <w:szCs w:val="24"/>
              </w:rPr>
            </w:pPr>
            <w:r>
              <w:rPr>
                <w:rFonts w:ascii="仿宋" w:hAnsi="仿宋" w:eastAsia="仿宋"/>
                <w:sz w:val="24"/>
                <w:szCs w:val="24"/>
              </w:rPr>
              <w:t>%</w:t>
            </w:r>
          </w:p>
        </w:tc>
        <w:tc>
          <w:tcPr>
            <w:tcW w:w="166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27.58</w:t>
            </w:r>
          </w:p>
        </w:tc>
        <w:tc>
          <w:tcPr>
            <w:tcW w:w="1660"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tcPr>
          <w:p>
            <w:pPr>
              <w:jc w:val="center"/>
              <w:rPr>
                <w:rFonts w:ascii="黑体" w:hAnsi="黑体" w:eastAsia="黑体"/>
                <w:sz w:val="24"/>
                <w:szCs w:val="24"/>
              </w:rPr>
            </w:pPr>
            <w:r>
              <w:rPr>
                <w:rFonts w:ascii="黑体" w:hAnsi="黑体" w:eastAsia="黑体"/>
                <w:sz w:val="24"/>
                <w:szCs w:val="24"/>
              </w:rPr>
              <w:t>25.81</w:t>
            </w:r>
          </w:p>
        </w:tc>
      </w:tr>
    </w:tbl>
    <w:p>
      <w:pPr>
        <w:spacing w:before="156" w:beforeLines="50"/>
        <w:ind w:firstLine="640" w:firstLineChars="200"/>
        <w:jc w:val="left"/>
        <w:rPr>
          <w:rFonts w:ascii="仿宋" w:hAnsi="仿宋" w:eastAsia="仿宋"/>
          <w:sz w:val="32"/>
          <w:szCs w:val="32"/>
        </w:rPr>
      </w:pPr>
      <w:r>
        <w:rPr>
          <w:rFonts w:hint="eastAsia" w:ascii="黑体" w:hAnsi="黑体" w:eastAsia="黑体"/>
          <w:color w:val="2E75B6" w:themeColor="accent1" w:themeShade="BF"/>
          <w:sz w:val="32"/>
          <w:szCs w:val="32"/>
        </w:rPr>
        <w:t>毕业生月均收入</w:t>
      </w:r>
      <w:r>
        <w:rPr>
          <w:rFonts w:hint="eastAsia" w:ascii="仿宋" w:hAnsi="仿宋" w:eastAsia="仿宋"/>
          <w:sz w:val="32"/>
          <w:szCs w:val="32"/>
        </w:rPr>
        <w:t>：</w:t>
      </w:r>
      <w:r>
        <w:rPr>
          <w:rFonts w:hint="eastAsia" w:asciiTheme="minorEastAsia" w:hAnsiTheme="minorEastAsia"/>
          <w:sz w:val="32"/>
          <w:szCs w:val="32"/>
        </w:rPr>
        <w:t>学院 201</w:t>
      </w:r>
      <w:r>
        <w:rPr>
          <w:rFonts w:asciiTheme="minorEastAsia" w:hAnsiTheme="minorEastAsia"/>
          <w:sz w:val="32"/>
          <w:szCs w:val="32"/>
        </w:rPr>
        <w:t>8</w:t>
      </w:r>
      <w:r>
        <w:rPr>
          <w:rFonts w:hint="eastAsia" w:asciiTheme="minorEastAsia" w:hAnsiTheme="minorEastAsia"/>
          <w:sz w:val="32"/>
          <w:szCs w:val="32"/>
        </w:rPr>
        <w:t xml:space="preserve"> 届毕业生月收入平均值约 </w:t>
      </w:r>
      <w:r>
        <w:rPr>
          <w:rFonts w:asciiTheme="minorEastAsia" w:hAnsiTheme="minorEastAsia"/>
          <w:sz w:val="32"/>
          <w:szCs w:val="32"/>
        </w:rPr>
        <w:t>2072.14</w:t>
      </w:r>
      <w:r>
        <w:rPr>
          <w:rFonts w:hint="eastAsia" w:asciiTheme="minorEastAsia" w:hAnsiTheme="minorEastAsia"/>
          <w:sz w:val="32"/>
          <w:szCs w:val="32"/>
        </w:rPr>
        <w:t xml:space="preserve"> 元。</w:t>
      </w:r>
    </w:p>
    <w:p>
      <w:pPr>
        <w:ind w:firstLine="640" w:firstLineChars="200"/>
        <w:jc w:val="left"/>
        <w:rPr>
          <w:rFonts w:ascii="仿宋" w:hAnsi="仿宋" w:eastAsia="仿宋"/>
          <w:sz w:val="32"/>
          <w:szCs w:val="32"/>
        </w:rPr>
      </w:pPr>
      <w:r>
        <w:rPr>
          <w:rFonts w:hint="eastAsia" w:ascii="黑体" w:hAnsi="黑体" w:eastAsia="黑体"/>
          <w:color w:val="2E75B6" w:themeColor="accent1" w:themeShade="BF"/>
          <w:sz w:val="32"/>
          <w:szCs w:val="32"/>
        </w:rPr>
        <w:t>工作满意度</w:t>
      </w:r>
      <w:r>
        <w:rPr>
          <w:rFonts w:hint="eastAsia" w:ascii="仿宋" w:hAnsi="仿宋" w:eastAsia="仿宋"/>
          <w:sz w:val="32"/>
          <w:szCs w:val="32"/>
        </w:rPr>
        <w:t>：</w:t>
      </w:r>
      <w:r>
        <w:rPr>
          <w:rFonts w:hint="eastAsia" w:asciiTheme="minorEastAsia" w:hAnsiTheme="minorEastAsia"/>
          <w:sz w:val="32"/>
          <w:szCs w:val="32"/>
        </w:rPr>
        <w:t>学院201</w:t>
      </w:r>
      <w:r>
        <w:rPr>
          <w:rFonts w:asciiTheme="minorEastAsia" w:hAnsiTheme="minorEastAsia"/>
          <w:sz w:val="32"/>
          <w:szCs w:val="32"/>
        </w:rPr>
        <w:t>8</w:t>
      </w:r>
      <w:r>
        <w:rPr>
          <w:rFonts w:hint="eastAsia" w:asciiTheme="minorEastAsia" w:hAnsiTheme="minorEastAsia"/>
          <w:sz w:val="32"/>
          <w:szCs w:val="32"/>
        </w:rPr>
        <w:t>届毕业生总体工作满意度为</w:t>
      </w:r>
      <w:r>
        <w:rPr>
          <w:rFonts w:asciiTheme="minorEastAsia" w:hAnsiTheme="minorEastAsia"/>
          <w:sz w:val="32"/>
          <w:szCs w:val="32"/>
        </w:rPr>
        <w:t>94</w:t>
      </w:r>
      <w:r>
        <w:rPr>
          <w:rFonts w:hint="eastAsia" w:asciiTheme="minorEastAsia" w:hAnsiTheme="minorEastAsia"/>
          <w:sz w:val="32"/>
          <w:szCs w:val="32"/>
        </w:rPr>
        <w:t>%，高于有关媒体披露的201</w:t>
      </w:r>
      <w:r>
        <w:rPr>
          <w:rFonts w:asciiTheme="minorEastAsia" w:hAnsiTheme="minorEastAsia"/>
          <w:sz w:val="32"/>
          <w:szCs w:val="32"/>
        </w:rPr>
        <w:t>8</w:t>
      </w:r>
      <w:r>
        <w:rPr>
          <w:rFonts w:hint="eastAsia" w:asciiTheme="minorEastAsia" w:hAnsiTheme="minorEastAsia"/>
          <w:sz w:val="32"/>
          <w:szCs w:val="32"/>
        </w:rPr>
        <w:t xml:space="preserve"> 届内蒙古自治区专科生工作满意度。</w:t>
      </w:r>
    </w:p>
    <w:p>
      <w:pPr>
        <w:ind w:firstLine="640" w:firstLineChars="200"/>
        <w:jc w:val="left"/>
        <w:rPr>
          <w:rFonts w:ascii="仿宋" w:hAnsi="仿宋" w:eastAsia="仿宋"/>
          <w:sz w:val="32"/>
          <w:szCs w:val="32"/>
        </w:rPr>
      </w:pPr>
      <w:r>
        <w:rPr>
          <w:rFonts w:hint="eastAsia" w:ascii="黑体" w:hAnsi="黑体" w:eastAsia="黑体"/>
          <w:color w:val="2E75B6" w:themeColor="accent1" w:themeShade="BF"/>
          <w:sz w:val="32"/>
          <w:szCs w:val="32"/>
        </w:rPr>
        <w:t>专业相关度</w:t>
      </w:r>
      <w:r>
        <w:rPr>
          <w:rFonts w:hint="eastAsia" w:ascii="仿宋" w:hAnsi="仿宋" w:eastAsia="仿宋"/>
          <w:sz w:val="32"/>
          <w:szCs w:val="32"/>
        </w:rPr>
        <w:t>：</w:t>
      </w:r>
      <w:r>
        <w:rPr>
          <w:rFonts w:hint="eastAsia" w:asciiTheme="minorEastAsia" w:hAnsiTheme="minorEastAsia"/>
          <w:sz w:val="32"/>
          <w:szCs w:val="32"/>
        </w:rPr>
        <w:t>通过对毕业生工作岗位与所学专业相关情况进行调查，学院2</w:t>
      </w:r>
      <w:r>
        <w:rPr>
          <w:rFonts w:asciiTheme="minorEastAsia" w:hAnsiTheme="minorEastAsia"/>
          <w:sz w:val="32"/>
          <w:szCs w:val="32"/>
        </w:rPr>
        <w:t>018届毕业生工作岗位与所学专业的相关度为61.17</w:t>
      </w:r>
      <w:r>
        <w:rPr>
          <w:rFonts w:hint="eastAsia" w:asciiTheme="minorEastAsia" w:hAnsiTheme="minorEastAsia"/>
          <w:sz w:val="32"/>
          <w:szCs w:val="32"/>
        </w:rPr>
        <w:t>%，为近三年最低值。据调查，原因一是通辽本地经济发展放缓，尤其是公益事业单位数量较少，提供工作岗位数量有限；二是2</w:t>
      </w:r>
      <w:r>
        <w:rPr>
          <w:rFonts w:asciiTheme="minorEastAsia" w:hAnsiTheme="minorEastAsia"/>
          <w:sz w:val="32"/>
          <w:szCs w:val="32"/>
        </w:rPr>
        <w:t>018届毕业生部分专业的学生从事快递</w:t>
      </w:r>
      <w:r>
        <w:rPr>
          <w:rFonts w:hint="eastAsia" w:asciiTheme="minorEastAsia" w:hAnsiTheme="minorEastAsia"/>
          <w:sz w:val="32"/>
          <w:szCs w:val="32"/>
        </w:rPr>
        <w:t>等</w:t>
      </w:r>
      <w:r>
        <w:rPr>
          <w:rFonts w:asciiTheme="minorEastAsia" w:hAnsiTheme="minorEastAsia"/>
          <w:sz w:val="32"/>
          <w:szCs w:val="32"/>
        </w:rPr>
        <w:t>服务性行业</w:t>
      </w:r>
      <w:r>
        <w:rPr>
          <w:rFonts w:hint="eastAsia" w:asciiTheme="minorEastAsia" w:hAnsiTheme="minorEastAsia"/>
          <w:sz w:val="32"/>
          <w:szCs w:val="32"/>
        </w:rPr>
        <w:t>，</w:t>
      </w:r>
      <w:r>
        <w:rPr>
          <w:rFonts w:asciiTheme="minorEastAsia" w:hAnsiTheme="minorEastAsia"/>
          <w:sz w:val="32"/>
          <w:szCs w:val="32"/>
        </w:rPr>
        <w:t>没有从事本专业工作</w:t>
      </w:r>
      <w:r>
        <w:rPr>
          <w:rFonts w:hint="eastAsia" w:asciiTheme="minorEastAsia" w:hAnsiTheme="minorEastAsia"/>
          <w:sz w:val="32"/>
          <w:szCs w:val="32"/>
        </w:rPr>
        <w:t>。</w:t>
      </w:r>
    </w:p>
    <w:p>
      <w:pPr>
        <w:jc w:val="left"/>
        <w:rPr>
          <w:rFonts w:ascii="仿宋" w:hAnsi="仿宋" w:eastAsia="仿宋"/>
          <w:sz w:val="32"/>
          <w:szCs w:val="32"/>
        </w:rPr>
      </w:pPr>
      <w:r>
        <w:rPr>
          <w:rFonts w:hint="eastAsia" w:ascii="仿宋" w:hAnsi="仿宋" w:eastAsia="仿宋"/>
          <w:sz w:val="32"/>
          <w:szCs w:val="32"/>
        </w:rPr>
        <w:drawing>
          <wp:inline distT="0" distB="0" distL="0" distR="0">
            <wp:extent cx="5274310" cy="3076575"/>
            <wp:effectExtent l="0" t="0" r="2540" b="952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5</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学院近3届毕业生专业相关度</w:t>
      </w:r>
    </w:p>
    <w:p>
      <w:pPr>
        <w:jc w:val="center"/>
        <w:rPr>
          <w:rFonts w:ascii="仿宋" w:hAnsi="仿宋" w:eastAsia="仿宋"/>
          <w:b/>
          <w:sz w:val="24"/>
          <w:szCs w:val="24"/>
        </w:rPr>
      </w:pPr>
      <w:r>
        <w:rPr>
          <w:rFonts w:hint="eastAsia" w:ascii="仿宋" w:hAnsi="仿宋" w:eastAsia="仿宋"/>
          <w:b/>
          <w:sz w:val="24"/>
          <w:szCs w:val="24"/>
        </w:rPr>
        <w:t>▲</w:t>
      </w:r>
      <w:r>
        <w:rPr>
          <w:rFonts w:hint="eastAsia" w:ascii="黑体" w:hAnsi="黑体" w:eastAsia="黑体"/>
          <w:sz w:val="24"/>
          <w:szCs w:val="24"/>
        </w:rPr>
        <w:t>数据来源：中国高职院校数据监测中心</w:t>
      </w:r>
    </w:p>
    <w:p>
      <w:pPr>
        <w:ind w:firstLine="640" w:firstLineChars="200"/>
        <w:jc w:val="left"/>
        <w:rPr>
          <w:rFonts w:ascii="仿宋" w:hAnsi="仿宋" w:eastAsia="仿宋"/>
          <w:sz w:val="32"/>
          <w:szCs w:val="32"/>
        </w:rPr>
      </w:pPr>
      <w:r>
        <w:rPr>
          <w:rFonts w:hint="eastAsia" w:ascii="黑体" w:hAnsi="黑体" w:eastAsia="黑体"/>
          <w:color w:val="2E75B6" w:themeColor="accent1" w:themeShade="BF"/>
          <w:sz w:val="32"/>
          <w:szCs w:val="32"/>
        </w:rPr>
        <w:t>雇主满意度</w:t>
      </w:r>
      <w:r>
        <w:rPr>
          <w:rFonts w:hint="eastAsia" w:ascii="仿宋" w:hAnsi="仿宋" w:eastAsia="仿宋"/>
          <w:sz w:val="32"/>
          <w:szCs w:val="32"/>
        </w:rPr>
        <w:t>：</w:t>
      </w:r>
      <w:r>
        <w:rPr>
          <w:rFonts w:hint="eastAsia" w:asciiTheme="minorEastAsia" w:hAnsiTheme="minorEastAsia"/>
          <w:sz w:val="32"/>
          <w:szCs w:val="32"/>
        </w:rPr>
        <w:t>通过对</w:t>
      </w:r>
      <w:r>
        <w:rPr>
          <w:rFonts w:asciiTheme="minorEastAsia" w:hAnsiTheme="minorEastAsia"/>
          <w:sz w:val="32"/>
          <w:szCs w:val="32"/>
        </w:rPr>
        <w:t>用人单位抽样调查结果显示</w:t>
      </w:r>
      <w:r>
        <w:rPr>
          <w:rFonts w:hint="eastAsia" w:asciiTheme="minorEastAsia" w:hAnsiTheme="minorEastAsia"/>
          <w:sz w:val="32"/>
          <w:szCs w:val="32"/>
        </w:rPr>
        <w:t>，9</w:t>
      </w:r>
      <w:r>
        <w:rPr>
          <w:rFonts w:asciiTheme="minorEastAsia" w:hAnsiTheme="minorEastAsia"/>
          <w:sz w:val="32"/>
          <w:szCs w:val="32"/>
        </w:rPr>
        <w:t>9.67</w:t>
      </w:r>
      <w:r>
        <w:rPr>
          <w:rFonts w:hint="eastAsia" w:asciiTheme="minorEastAsia" w:hAnsiTheme="minorEastAsia"/>
          <w:sz w:val="32"/>
          <w:szCs w:val="32"/>
        </w:rPr>
        <w:t>%</w:t>
      </w:r>
      <w:r>
        <w:rPr>
          <w:rFonts w:asciiTheme="minorEastAsia" w:hAnsiTheme="minorEastAsia"/>
          <w:sz w:val="32"/>
          <w:szCs w:val="32"/>
        </w:rPr>
        <w:t>的企业对我院毕业生总体满意</w:t>
      </w:r>
      <w:r>
        <w:rPr>
          <w:rFonts w:hint="eastAsia" w:asciiTheme="minorEastAsia" w:hAnsiTheme="minorEastAsia"/>
          <w:sz w:val="32"/>
          <w:szCs w:val="32"/>
        </w:rPr>
        <w:t>，</w:t>
      </w:r>
      <w:r>
        <w:rPr>
          <w:rFonts w:asciiTheme="minorEastAsia" w:hAnsiTheme="minorEastAsia"/>
          <w:sz w:val="32"/>
          <w:szCs w:val="32"/>
        </w:rPr>
        <w:t>接</w:t>
      </w:r>
      <w:r>
        <w:rPr>
          <w:rFonts w:hint="eastAsia" w:asciiTheme="minorEastAsia" w:hAnsiTheme="minorEastAsia"/>
          <w:sz w:val="32"/>
          <w:szCs w:val="32"/>
        </w:rPr>
        <w:t>受</w:t>
      </w:r>
      <w:r>
        <w:rPr>
          <w:rFonts w:asciiTheme="minorEastAsia" w:hAnsiTheme="minorEastAsia"/>
          <w:sz w:val="32"/>
          <w:szCs w:val="32"/>
        </w:rPr>
        <w:t>调查的用人单位均表示愿意继续扩大规模招聘我院毕业生</w:t>
      </w:r>
      <w:r>
        <w:rPr>
          <w:rFonts w:hint="eastAsia" w:asciiTheme="minorEastAsia" w:hAnsiTheme="minorEastAsia"/>
          <w:sz w:val="32"/>
          <w:szCs w:val="32"/>
        </w:rPr>
        <w:t>，</w:t>
      </w:r>
      <w:r>
        <w:rPr>
          <w:rFonts w:asciiTheme="minorEastAsia" w:hAnsiTheme="minorEastAsia"/>
          <w:sz w:val="32"/>
          <w:szCs w:val="32"/>
        </w:rPr>
        <w:t>反映出我院毕业生的专业技能和总体素养</w:t>
      </w:r>
      <w:r>
        <w:rPr>
          <w:rFonts w:hint="eastAsia" w:asciiTheme="minorEastAsia" w:hAnsiTheme="minorEastAsia"/>
          <w:sz w:val="32"/>
          <w:szCs w:val="32"/>
        </w:rPr>
        <w:t>被</w:t>
      </w:r>
      <w:r>
        <w:rPr>
          <w:rFonts w:asciiTheme="minorEastAsia" w:hAnsiTheme="minorEastAsia"/>
          <w:sz w:val="32"/>
          <w:szCs w:val="32"/>
        </w:rPr>
        <w:t>广大用人单位认可</w:t>
      </w:r>
      <w:r>
        <w:rPr>
          <w:rFonts w:hint="eastAsia" w:asciiTheme="minorEastAsia" w:hAnsiTheme="minorEastAsia"/>
          <w:sz w:val="32"/>
          <w:szCs w:val="32"/>
        </w:rPr>
        <w:t>，</w:t>
      </w:r>
      <w:r>
        <w:rPr>
          <w:rFonts w:asciiTheme="minorEastAsia" w:hAnsiTheme="minorEastAsia"/>
          <w:sz w:val="32"/>
          <w:szCs w:val="32"/>
        </w:rPr>
        <w:t>学院的教学质量也受到了一致好评</w:t>
      </w:r>
      <w:r>
        <w:rPr>
          <w:rFonts w:hint="eastAsia" w:asciiTheme="minorEastAsia" w:hAnsiTheme="minorEastAsia"/>
          <w:sz w:val="32"/>
          <w:szCs w:val="32"/>
        </w:rPr>
        <w:t>。</w:t>
      </w:r>
    </w:p>
    <w:p>
      <w:pPr>
        <w:jc w:val="left"/>
        <w:rPr>
          <w:rFonts w:ascii="仿宋" w:hAnsi="仿宋" w:eastAsia="仿宋"/>
          <w:sz w:val="32"/>
          <w:szCs w:val="32"/>
        </w:rPr>
      </w:pPr>
      <w:r>
        <w:rPr>
          <w:rFonts w:hint="eastAsia" w:ascii="仿宋" w:hAnsi="仿宋" w:eastAsia="仿宋"/>
          <w:sz w:val="32"/>
          <w:szCs w:val="32"/>
        </w:rPr>
        <w:drawing>
          <wp:inline distT="0" distB="0" distL="0" distR="0">
            <wp:extent cx="5274310" cy="2705100"/>
            <wp:effectExtent l="0" t="0" r="2540" b="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6</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学院近3届毕业生雇主满意度</w:t>
      </w:r>
    </w:p>
    <w:p>
      <w:pPr>
        <w:jc w:val="center"/>
        <w:rPr>
          <w:rFonts w:ascii="仿宋" w:hAnsi="仿宋" w:eastAsia="仿宋"/>
          <w:b/>
          <w:sz w:val="24"/>
          <w:szCs w:val="24"/>
        </w:rPr>
      </w:pPr>
      <w:r>
        <w:rPr>
          <w:rFonts w:hint="eastAsia" w:ascii="仿宋" w:hAnsi="仿宋" w:eastAsia="仿宋"/>
          <w:b/>
          <w:sz w:val="24"/>
          <w:szCs w:val="24"/>
        </w:rPr>
        <w:t>▲</w:t>
      </w:r>
      <w:r>
        <w:rPr>
          <w:rFonts w:hint="eastAsia" w:ascii="黑体" w:hAnsi="黑体" w:eastAsia="黑体"/>
          <w:sz w:val="24"/>
          <w:szCs w:val="24"/>
        </w:rPr>
        <w:t>数据来源：学院创业就业处</w:t>
      </w:r>
    </w:p>
    <w:p>
      <w:pPr>
        <w:pStyle w:val="3"/>
      </w:pPr>
      <w:bookmarkStart w:id="10" w:name="_Toc28254438"/>
      <w:bookmarkStart w:id="11" w:name="_Toc32111"/>
      <w:r>
        <w:rPr>
          <w:rFonts w:hint="eastAsia"/>
        </w:rPr>
        <w:t>1.3</w:t>
      </w:r>
      <w:r>
        <w:t xml:space="preserve"> </w:t>
      </w:r>
      <w:r>
        <w:rPr>
          <w:rFonts w:hint="eastAsia"/>
        </w:rPr>
        <w:t>招生情况</w:t>
      </w:r>
      <w:bookmarkEnd w:id="10"/>
      <w:bookmarkEnd w:id="11"/>
    </w:p>
    <w:p>
      <w:pPr>
        <w:ind w:firstLine="640" w:firstLineChars="200"/>
        <w:rPr>
          <w:rFonts w:asciiTheme="minorEastAsia" w:hAnsiTheme="minorEastAsia"/>
          <w:sz w:val="32"/>
          <w:szCs w:val="32"/>
        </w:rPr>
      </w:pPr>
      <w:r>
        <w:rPr>
          <w:rFonts w:hint="eastAsia" w:asciiTheme="minorEastAsia" w:hAnsiTheme="minorEastAsia"/>
          <w:sz w:val="32"/>
          <w:szCs w:val="32"/>
        </w:rPr>
        <w:t>201</w:t>
      </w:r>
      <w:r>
        <w:rPr>
          <w:rFonts w:asciiTheme="minorEastAsia" w:hAnsiTheme="minorEastAsia"/>
          <w:sz w:val="32"/>
          <w:szCs w:val="32"/>
        </w:rPr>
        <w:t>8</w:t>
      </w:r>
      <w:r>
        <w:rPr>
          <w:rFonts w:hint="eastAsia" w:asciiTheme="minorEastAsia" w:hAnsiTheme="minorEastAsia"/>
          <w:sz w:val="32"/>
          <w:szCs w:val="32"/>
        </w:rPr>
        <w:t>年，学院主动适应职业教育改革，并对招考进行认真部署，加强顶层设计，广泛进行调研，认真分析区内外生源情况，科学合理编制招生计划和工作方案，精心组织实施，在严峻的生源竞争形势下，计划完成率和新生报到率依然保持着较高水平。201</w:t>
      </w:r>
      <w:r>
        <w:rPr>
          <w:rFonts w:asciiTheme="minorEastAsia" w:hAnsiTheme="minorEastAsia"/>
          <w:sz w:val="32"/>
          <w:szCs w:val="32"/>
        </w:rPr>
        <w:t>8</w:t>
      </w:r>
      <w:r>
        <w:rPr>
          <w:rFonts w:hint="eastAsia" w:asciiTheme="minorEastAsia" w:hAnsiTheme="minorEastAsia"/>
          <w:sz w:val="32"/>
          <w:szCs w:val="32"/>
        </w:rPr>
        <w:t>年学院普通专科招生总计划数为</w:t>
      </w:r>
      <w:r>
        <w:rPr>
          <w:rFonts w:asciiTheme="minorEastAsia" w:hAnsiTheme="minorEastAsia"/>
          <w:sz w:val="32"/>
          <w:szCs w:val="32"/>
        </w:rPr>
        <w:t>25</w:t>
      </w:r>
      <w:r>
        <w:rPr>
          <w:rFonts w:hint="eastAsia" w:asciiTheme="minorEastAsia" w:hAnsiTheme="minorEastAsia"/>
          <w:sz w:val="32"/>
          <w:szCs w:val="32"/>
        </w:rPr>
        <w:t>0</w:t>
      </w:r>
      <w:r>
        <w:rPr>
          <w:rFonts w:asciiTheme="minorEastAsia" w:hAnsiTheme="minorEastAsia"/>
          <w:sz w:val="32"/>
          <w:szCs w:val="32"/>
        </w:rPr>
        <w:t>0</w:t>
      </w:r>
      <w:r>
        <w:rPr>
          <w:rFonts w:hint="eastAsia" w:asciiTheme="minorEastAsia" w:hAnsiTheme="minorEastAsia"/>
          <w:sz w:val="32"/>
          <w:szCs w:val="32"/>
        </w:rPr>
        <w:t>人，实际录取人数为</w:t>
      </w:r>
      <w:r>
        <w:rPr>
          <w:rFonts w:asciiTheme="minorEastAsia" w:hAnsiTheme="minorEastAsia"/>
          <w:sz w:val="32"/>
          <w:szCs w:val="32"/>
        </w:rPr>
        <w:t>2444</w:t>
      </w:r>
      <w:r>
        <w:rPr>
          <w:rFonts w:hint="eastAsia" w:asciiTheme="minorEastAsia" w:hAnsiTheme="minorEastAsia"/>
          <w:sz w:val="32"/>
          <w:szCs w:val="32"/>
        </w:rPr>
        <w:t>人，录取率为 9</w:t>
      </w:r>
      <w:r>
        <w:rPr>
          <w:rFonts w:asciiTheme="minorEastAsia" w:hAnsiTheme="minorEastAsia"/>
          <w:sz w:val="32"/>
          <w:szCs w:val="32"/>
        </w:rPr>
        <w:t>7</w:t>
      </w:r>
      <w:r>
        <w:rPr>
          <w:rFonts w:hint="eastAsia" w:asciiTheme="minorEastAsia" w:hAnsiTheme="minorEastAsia"/>
          <w:sz w:val="32"/>
          <w:szCs w:val="32"/>
        </w:rPr>
        <w:t>.</w:t>
      </w:r>
      <w:r>
        <w:rPr>
          <w:rFonts w:asciiTheme="minorEastAsia" w:hAnsiTheme="minorEastAsia"/>
          <w:sz w:val="32"/>
          <w:szCs w:val="32"/>
        </w:rPr>
        <w:t>76</w:t>
      </w:r>
      <w:r>
        <w:rPr>
          <w:rFonts w:hint="eastAsia" w:asciiTheme="minorEastAsia" w:hAnsiTheme="minorEastAsia"/>
          <w:sz w:val="32"/>
          <w:szCs w:val="32"/>
        </w:rPr>
        <w:t>%，录取人数保持稳定。新生实际报到人数</w:t>
      </w:r>
      <w:r>
        <w:rPr>
          <w:rFonts w:asciiTheme="minorEastAsia" w:hAnsiTheme="minorEastAsia"/>
          <w:sz w:val="32"/>
          <w:szCs w:val="32"/>
        </w:rPr>
        <w:t>2306</w:t>
      </w:r>
      <w:r>
        <w:rPr>
          <w:rFonts w:hint="eastAsia" w:asciiTheme="minorEastAsia" w:hAnsiTheme="minorEastAsia"/>
          <w:sz w:val="32"/>
          <w:szCs w:val="32"/>
        </w:rPr>
        <w:t>人，报到率为9</w:t>
      </w:r>
      <w:r>
        <w:rPr>
          <w:rFonts w:asciiTheme="minorEastAsia" w:hAnsiTheme="minorEastAsia"/>
          <w:sz w:val="32"/>
          <w:szCs w:val="32"/>
        </w:rPr>
        <w:t>4</w:t>
      </w:r>
      <w:r>
        <w:rPr>
          <w:rFonts w:hint="eastAsia" w:asciiTheme="minorEastAsia" w:hAnsiTheme="minorEastAsia"/>
          <w:sz w:val="32"/>
          <w:szCs w:val="32"/>
        </w:rPr>
        <w:t>.</w:t>
      </w:r>
      <w:r>
        <w:rPr>
          <w:rFonts w:asciiTheme="minorEastAsia" w:hAnsiTheme="minorEastAsia"/>
          <w:sz w:val="32"/>
          <w:szCs w:val="32"/>
        </w:rPr>
        <w:t>35</w:t>
      </w:r>
      <w:r>
        <w:rPr>
          <w:rFonts w:hint="eastAsia" w:asciiTheme="minorEastAsia" w:hAnsiTheme="minorEastAsia"/>
          <w:sz w:val="32"/>
          <w:szCs w:val="32"/>
        </w:rPr>
        <w:t>%。</w:t>
      </w:r>
    </w:p>
    <w:p>
      <w:pPr>
        <w:rPr>
          <w:rFonts w:ascii="仿宋" w:hAnsi="仿宋" w:eastAsia="仿宋"/>
          <w:sz w:val="32"/>
          <w:szCs w:val="32"/>
        </w:rPr>
      </w:pPr>
      <w:r>
        <w:rPr>
          <w:rFonts w:ascii="仿宋" w:hAnsi="仿宋" w:eastAsia="仿宋"/>
          <w:sz w:val="32"/>
          <w:szCs w:val="32"/>
        </w:rPr>
        <w:drawing>
          <wp:inline distT="0" distB="0" distL="0" distR="0">
            <wp:extent cx="5274310" cy="3076575"/>
            <wp:effectExtent l="0" t="0" r="254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7</w:t>
      </w:r>
      <w:r>
        <w:rPr>
          <w:rFonts w:hint="eastAsia" w:ascii="仿宋" w:hAnsi="仿宋" w:eastAsia="仿宋"/>
          <w:b/>
          <w:color w:val="C55A11" w:themeColor="accent2" w:themeShade="BF"/>
          <w:sz w:val="24"/>
          <w:szCs w:val="24"/>
        </w:rPr>
        <w:t>：</w:t>
      </w:r>
      <w:r>
        <w:rPr>
          <w:rFonts w:ascii="仿宋" w:hAnsi="仿宋" w:eastAsia="仿宋"/>
          <w:b/>
          <w:sz w:val="24"/>
          <w:szCs w:val="24"/>
        </w:rPr>
        <w:t>近8</w:t>
      </w:r>
      <w:r>
        <w:rPr>
          <w:rFonts w:hint="eastAsia" w:ascii="仿宋" w:hAnsi="仿宋" w:eastAsia="仿宋"/>
          <w:b/>
          <w:sz w:val="24"/>
          <w:szCs w:val="24"/>
        </w:rPr>
        <w:t>年学院招生实际录取数比较</w:t>
      </w:r>
    </w:p>
    <w:p>
      <w:pPr>
        <w:jc w:val="center"/>
        <w:rPr>
          <w:rFonts w:ascii="仿宋" w:hAnsi="仿宋" w:eastAsia="仿宋"/>
          <w:b/>
          <w:sz w:val="24"/>
          <w:szCs w:val="24"/>
        </w:rPr>
      </w:pPr>
      <w:r>
        <w:rPr>
          <w:rFonts w:hint="eastAsia" w:ascii="仿宋" w:hAnsi="仿宋" w:eastAsia="仿宋"/>
          <w:b/>
          <w:sz w:val="24"/>
          <w:szCs w:val="24"/>
        </w:rPr>
        <w:t>▲</w:t>
      </w:r>
      <w:r>
        <w:rPr>
          <w:rFonts w:hint="eastAsia" w:ascii="黑体" w:hAnsi="黑体" w:eastAsia="黑体"/>
          <w:sz w:val="24"/>
          <w:szCs w:val="24"/>
        </w:rPr>
        <w:t>数据来源：中国高职院校数据监测中心</w:t>
      </w:r>
    </w:p>
    <w:p>
      <w:pPr>
        <w:rPr>
          <w:rFonts w:ascii="仿宋" w:hAnsi="仿宋" w:eastAsia="仿宋"/>
          <w:b/>
          <w:sz w:val="24"/>
          <w:szCs w:val="24"/>
        </w:rPr>
      </w:pPr>
    </w:p>
    <w:p>
      <w:pPr>
        <w:rPr>
          <w:rFonts w:ascii="仿宋" w:hAnsi="仿宋" w:eastAsia="仿宋"/>
          <w:b/>
          <w:sz w:val="24"/>
          <w:szCs w:val="24"/>
        </w:rPr>
      </w:pPr>
      <w:r>
        <w:rPr>
          <w:rFonts w:ascii="仿宋" w:hAnsi="仿宋" w:eastAsia="仿宋"/>
          <w:sz w:val="32"/>
          <w:szCs w:val="32"/>
        </w:rPr>
        <w:drawing>
          <wp:inline distT="0" distB="0" distL="0" distR="0">
            <wp:extent cx="5274310" cy="3076575"/>
            <wp:effectExtent l="0" t="0" r="2540" b="9525"/>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8</w:t>
      </w:r>
      <w:r>
        <w:rPr>
          <w:rFonts w:hint="eastAsia" w:ascii="仿宋" w:hAnsi="仿宋" w:eastAsia="仿宋"/>
          <w:b/>
          <w:color w:val="C55A11" w:themeColor="accent2" w:themeShade="BF"/>
          <w:sz w:val="24"/>
          <w:szCs w:val="24"/>
        </w:rPr>
        <w:t>：</w:t>
      </w:r>
      <w:r>
        <w:rPr>
          <w:rFonts w:ascii="仿宋" w:hAnsi="仿宋" w:eastAsia="仿宋"/>
          <w:b/>
          <w:sz w:val="24"/>
          <w:szCs w:val="24"/>
        </w:rPr>
        <w:t>近8</w:t>
      </w:r>
      <w:r>
        <w:rPr>
          <w:rFonts w:hint="eastAsia" w:ascii="仿宋" w:hAnsi="仿宋" w:eastAsia="仿宋"/>
          <w:b/>
          <w:sz w:val="24"/>
          <w:szCs w:val="24"/>
        </w:rPr>
        <w:t>年学院招生实际录取数与全区中位数比较</w:t>
      </w:r>
    </w:p>
    <w:p>
      <w:pPr>
        <w:jc w:val="center"/>
        <w:rPr>
          <w:rFonts w:ascii="仿宋" w:hAnsi="仿宋" w:eastAsia="仿宋"/>
          <w:b/>
          <w:sz w:val="24"/>
          <w:szCs w:val="24"/>
        </w:rPr>
      </w:pPr>
      <w:r>
        <w:rPr>
          <w:rFonts w:hint="eastAsia" w:ascii="仿宋" w:hAnsi="仿宋" w:eastAsia="仿宋"/>
          <w:b/>
          <w:sz w:val="24"/>
          <w:szCs w:val="24"/>
        </w:rPr>
        <w:t>▲</w:t>
      </w:r>
      <w:r>
        <w:rPr>
          <w:rFonts w:hint="eastAsia" w:ascii="黑体" w:hAnsi="黑体" w:eastAsia="黑体"/>
          <w:sz w:val="24"/>
          <w:szCs w:val="24"/>
        </w:rPr>
        <w:t>数据来源：中国高职院校数据监测中心</w:t>
      </w:r>
    </w:p>
    <w:p>
      <w:pPr>
        <w:rPr>
          <w:rFonts w:ascii="仿宋" w:hAnsi="仿宋" w:eastAsia="仿宋"/>
          <w:b/>
          <w:sz w:val="24"/>
          <w:szCs w:val="24"/>
        </w:rPr>
      </w:pPr>
    </w:p>
    <w:p>
      <w:pPr>
        <w:ind w:firstLine="640" w:firstLineChars="200"/>
        <w:rPr>
          <w:rFonts w:asciiTheme="minorEastAsia" w:hAnsiTheme="minorEastAsia"/>
          <w:sz w:val="32"/>
          <w:szCs w:val="32"/>
        </w:rPr>
      </w:pPr>
      <w:r>
        <w:rPr>
          <w:rFonts w:asciiTheme="minorEastAsia" w:hAnsiTheme="minorEastAsia"/>
          <w:sz w:val="32"/>
          <w:szCs w:val="32"/>
        </w:rPr>
        <w:t>根据</w:t>
      </w:r>
      <w:r>
        <w:rPr>
          <w:rFonts w:hint="eastAsia" w:asciiTheme="minorEastAsia" w:hAnsiTheme="minorEastAsia"/>
          <w:sz w:val="32"/>
          <w:szCs w:val="32"/>
        </w:rPr>
        <w:t>《教育部等六部门关于印发&lt;高职扩招专项工作实施方案&gt;的通知》（教职成〔2019〕12号）要求，2</w:t>
      </w:r>
      <w:r>
        <w:rPr>
          <w:rFonts w:asciiTheme="minorEastAsia" w:hAnsiTheme="minorEastAsia"/>
          <w:sz w:val="32"/>
          <w:szCs w:val="32"/>
        </w:rPr>
        <w:t>019年</w:t>
      </w:r>
      <w:r>
        <w:rPr>
          <w:rFonts w:hint="eastAsia" w:asciiTheme="minorEastAsia" w:hAnsiTheme="minorEastAsia"/>
          <w:sz w:val="32"/>
          <w:szCs w:val="32"/>
        </w:rPr>
        <w:t>，</w:t>
      </w:r>
      <w:r>
        <w:rPr>
          <w:rFonts w:asciiTheme="minorEastAsia" w:hAnsiTheme="minorEastAsia"/>
          <w:sz w:val="32"/>
          <w:szCs w:val="32"/>
        </w:rPr>
        <w:t>我院</w:t>
      </w:r>
      <w:r>
        <w:rPr>
          <w:rFonts w:hint="eastAsia" w:asciiTheme="minorEastAsia" w:hAnsiTheme="minorEastAsia"/>
          <w:sz w:val="32"/>
          <w:szCs w:val="32"/>
        </w:rPr>
        <w:t>主动</w:t>
      </w:r>
      <w:r>
        <w:rPr>
          <w:rFonts w:asciiTheme="minorEastAsia" w:hAnsiTheme="minorEastAsia"/>
          <w:sz w:val="32"/>
          <w:szCs w:val="32"/>
        </w:rPr>
        <w:t>落实扩招工作</w:t>
      </w:r>
      <w:r>
        <w:rPr>
          <w:rFonts w:hint="eastAsia" w:asciiTheme="minorEastAsia" w:hAnsiTheme="minorEastAsia"/>
          <w:sz w:val="32"/>
          <w:szCs w:val="32"/>
        </w:rPr>
        <w:t>，通过两次扩招，共录取2</w:t>
      </w:r>
      <w:r>
        <w:rPr>
          <w:rFonts w:asciiTheme="minorEastAsia" w:hAnsiTheme="minorEastAsia"/>
          <w:sz w:val="32"/>
          <w:szCs w:val="32"/>
        </w:rPr>
        <w:t>65人</w:t>
      </w:r>
      <w:r>
        <w:rPr>
          <w:rFonts w:hint="eastAsia" w:asciiTheme="minorEastAsia" w:hAnsiTheme="minorEastAsia"/>
          <w:sz w:val="32"/>
          <w:szCs w:val="32"/>
        </w:rPr>
        <w:t>。其中：退役军人1</w:t>
      </w:r>
      <w:r>
        <w:rPr>
          <w:rFonts w:asciiTheme="minorEastAsia" w:hAnsiTheme="minorEastAsia"/>
          <w:sz w:val="32"/>
          <w:szCs w:val="32"/>
        </w:rPr>
        <w:t>58人</w:t>
      </w:r>
      <w:r>
        <w:rPr>
          <w:rFonts w:hint="eastAsia" w:asciiTheme="minorEastAsia" w:hAnsiTheme="minorEastAsia"/>
          <w:sz w:val="32"/>
          <w:szCs w:val="32"/>
        </w:rPr>
        <w:t>；高中、中职毕业生9</w:t>
      </w:r>
      <w:r>
        <w:rPr>
          <w:rFonts w:asciiTheme="minorEastAsia" w:hAnsiTheme="minorEastAsia"/>
          <w:sz w:val="32"/>
          <w:szCs w:val="32"/>
        </w:rPr>
        <w:t>5人</w:t>
      </w:r>
      <w:r>
        <w:rPr>
          <w:rFonts w:hint="eastAsia" w:asciiTheme="minorEastAsia" w:hAnsiTheme="minorEastAsia"/>
          <w:sz w:val="32"/>
          <w:szCs w:val="32"/>
        </w:rPr>
        <w:t>；</w:t>
      </w:r>
      <w:r>
        <w:rPr>
          <w:rFonts w:asciiTheme="minorEastAsia" w:hAnsiTheme="minorEastAsia"/>
          <w:sz w:val="32"/>
          <w:szCs w:val="32"/>
        </w:rPr>
        <w:t>下岗工人及农民工</w:t>
      </w:r>
      <w:r>
        <w:rPr>
          <w:rFonts w:hint="eastAsia" w:asciiTheme="minorEastAsia" w:hAnsiTheme="minorEastAsia"/>
          <w:sz w:val="32"/>
          <w:szCs w:val="32"/>
        </w:rPr>
        <w:t>1</w:t>
      </w:r>
      <w:r>
        <w:rPr>
          <w:rFonts w:asciiTheme="minorEastAsia" w:hAnsiTheme="minorEastAsia"/>
          <w:sz w:val="32"/>
          <w:szCs w:val="32"/>
        </w:rPr>
        <w:t>2人</w:t>
      </w:r>
      <w:r>
        <w:rPr>
          <w:rFonts w:hint="eastAsia" w:asciiTheme="minorEastAsia" w:hAnsiTheme="minorEastAsia"/>
          <w:sz w:val="32"/>
          <w:szCs w:val="32"/>
        </w:rPr>
        <w:t>。</w:t>
      </w:r>
    </w:p>
    <w:p>
      <w:pPr>
        <w:rPr>
          <w:rFonts w:ascii="仿宋" w:hAnsi="仿宋" w:eastAsia="仿宋"/>
          <w:sz w:val="32"/>
          <w:szCs w:val="32"/>
        </w:rPr>
      </w:pPr>
      <w:r>
        <w:rPr>
          <w:rFonts w:hint="eastAsia" w:ascii="仿宋" w:hAnsi="仿宋" w:eastAsia="仿宋"/>
          <w:color w:val="C55A11" w:themeColor="accent2" w:themeShade="BF"/>
          <w:sz w:val="32"/>
          <w:szCs w:val="32"/>
        </w:rPr>
        <w:t>【案例</w:t>
      </w:r>
      <w:r>
        <w:rPr>
          <w:rFonts w:ascii="仿宋" w:hAnsi="仿宋" w:eastAsia="仿宋"/>
          <w:color w:val="C55A11" w:themeColor="accent2" w:themeShade="BF"/>
          <w:sz w:val="32"/>
          <w:szCs w:val="32"/>
        </w:rPr>
        <w:t>4</w:t>
      </w:r>
      <w:r>
        <w:rPr>
          <w:rFonts w:hint="eastAsia" w:ascii="仿宋" w:hAnsi="仿宋" w:eastAsia="仿宋"/>
          <w:color w:val="C55A11" w:themeColor="accent2" w:themeShade="BF"/>
          <w:sz w:val="32"/>
          <w:szCs w:val="32"/>
        </w:rPr>
        <w:t>】校园开放多样化、常态化 职业教育吸引力进一步提升</w:t>
      </w:r>
    </w:p>
    <w:p>
      <w:pPr>
        <w:ind w:firstLine="640" w:firstLineChars="200"/>
        <w:rPr>
          <w:rFonts w:ascii="仿宋" w:hAnsi="仿宋" w:eastAsia="仿宋"/>
          <w:sz w:val="32"/>
          <w:szCs w:val="32"/>
        </w:rPr>
      </w:pPr>
      <w:r>
        <w:rPr>
          <w:rFonts w:hint="eastAsia" w:ascii="仿宋" w:hAnsi="仿宋" w:eastAsia="仿宋"/>
          <w:sz w:val="32"/>
          <w:szCs w:val="32"/>
        </w:rPr>
        <w:t>为营造全社会关心支持职业教育的良好氛围，学院借助“职业教育活动周”和开学季、毕业季系列活动，积极推进校园开放常态化，全面展示学院办学特色及办学成果，加深了社会公众、考生及家长对学院的了解，扩大了高等职业教育影响力。通过形式多样的“校园开放”，也促进了招生工作，学院连续多年第一志愿全部录满，近五年录取人数、报到人数、录取率、报到率等关键数据均保持高位，位列内蒙古自治区高职院校前列。</w:t>
      </w:r>
    </w:p>
    <w:p>
      <w:pPr>
        <w:rPr>
          <w:rFonts w:ascii="仿宋" w:hAnsi="仿宋" w:eastAsia="仿宋"/>
          <w:sz w:val="32"/>
          <w:szCs w:val="32"/>
        </w:rPr>
      </w:pPr>
      <w:r>
        <w:rPr>
          <w:rFonts w:ascii="仿宋" w:hAnsi="仿宋" w:eastAsia="仿宋"/>
          <w:sz w:val="32"/>
          <w:szCs w:val="32"/>
        </w:rPr>
        <w:pict>
          <v:shape id="_x0000_i1027" o:spt="75" type="#_x0000_t75" style="height:145.15pt;width:414.75pt;" filled="f" o:preferrelative="t" stroked="f" coordsize="21600,21600">
            <v:path/>
            <v:fill on="f" focussize="0,0"/>
            <v:stroke on="f" joinstyle="miter"/>
            <v:imagedata r:id="rId29" o:title="开放日"/>
            <o:lock v:ext="edit" aspectratio="t"/>
            <w10:wrap type="none"/>
            <w10:anchorlock/>
          </v:shape>
        </w:pict>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9</w:t>
      </w:r>
      <w:r>
        <w:rPr>
          <w:rFonts w:hint="eastAsia" w:ascii="仿宋" w:hAnsi="仿宋" w:eastAsia="仿宋"/>
          <w:b/>
          <w:color w:val="C55A11" w:themeColor="accent2" w:themeShade="BF"/>
          <w:sz w:val="24"/>
          <w:szCs w:val="24"/>
        </w:rPr>
        <w:t>：</w:t>
      </w:r>
      <w:r>
        <w:rPr>
          <w:rFonts w:hint="eastAsia" w:ascii="仿宋" w:hAnsi="仿宋" w:eastAsia="仿宋"/>
          <w:b/>
          <w:sz w:val="24"/>
          <w:szCs w:val="24"/>
        </w:rPr>
        <w:t>2018毕业季——校园开放日</w:t>
      </w:r>
    </w:p>
    <w:p>
      <w:pPr>
        <w:pStyle w:val="3"/>
      </w:pPr>
      <w:bookmarkStart w:id="12" w:name="_Toc24450"/>
      <w:bookmarkStart w:id="13" w:name="_Toc28254439"/>
      <w:r>
        <w:rPr>
          <w:rFonts w:hint="eastAsia"/>
        </w:rPr>
        <w:t>1.4</w:t>
      </w:r>
      <w:r>
        <w:t xml:space="preserve"> </w:t>
      </w:r>
      <w:r>
        <w:rPr>
          <w:rFonts w:hint="eastAsia"/>
        </w:rPr>
        <w:t>在校体验</w:t>
      </w:r>
      <w:bookmarkEnd w:id="12"/>
      <w:bookmarkEnd w:id="13"/>
    </w:p>
    <w:p>
      <w:pPr>
        <w:ind w:firstLine="640" w:firstLineChars="200"/>
        <w:rPr>
          <w:rFonts w:asciiTheme="minorEastAsia" w:hAnsiTheme="minorEastAsia"/>
          <w:sz w:val="32"/>
          <w:szCs w:val="32"/>
        </w:rPr>
      </w:pPr>
      <w:r>
        <w:rPr>
          <w:rFonts w:hint="eastAsia" w:asciiTheme="minorEastAsia" w:hAnsiTheme="minorEastAsia"/>
          <w:sz w:val="32"/>
          <w:szCs w:val="32"/>
        </w:rPr>
        <w:t>聚焦学生发展 学院注重构建“三全”育人模式，以学生发展为目标导向，促进学生的全面发展。围绕贯彻落实社会主义核心价值观和精神文明建设要求，以文明校园“六个好”为标准，以创建国家级文明校园为目标，启动实施文明校园“八创建”活动。将党建红色文化带进学生公寓，设立心理宣导室、党员示范岗、学生监督员、做到“一楼一特色、一舍一主题”，形成独具特色的公寓文化。组建“高校乌兰牧骑”，组织大学生校园文化艺术节、5•12护士节文艺汇演、醉美校园摄影大赛、中华优秀经典诗文诵读、最美大学生评选、职业教育活动周等一系列文化活动，将每周五固定为全院的“爱校卫生日”，从劳动中增强师生爱校如家的主人翁意识。</w:t>
      </w:r>
    </w:p>
    <w:p>
      <w:pPr>
        <w:rPr>
          <w:rFonts w:asciiTheme="minorEastAsia" w:hAnsiTheme="minorEastAsia"/>
          <w:sz w:val="32"/>
          <w:szCs w:val="32"/>
        </w:rPr>
      </w:pPr>
      <w:r>
        <w:rPr>
          <w:rFonts w:hint="eastAsia" w:asciiTheme="minorEastAsia" w:hAnsiTheme="minorEastAsia"/>
          <w:sz w:val="32"/>
          <w:szCs w:val="32"/>
        </w:rPr>
        <w:drawing>
          <wp:inline distT="0" distB="0" distL="114300" distR="114300">
            <wp:extent cx="5205730" cy="3359150"/>
            <wp:effectExtent l="0" t="0" r="0" b="0"/>
            <wp:docPr id="26" name="图片 26" descr="微信图片_2019092810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微信图片_20190928102539"/>
                    <pic:cNvPicPr>
                      <a:picLocks noChangeAspect="1"/>
                    </pic:cNvPicPr>
                  </pic:nvPicPr>
                  <pic:blipFill>
                    <a:blip r:embed="rId30"/>
                    <a:stretch>
                      <a:fillRect/>
                    </a:stretch>
                  </pic:blipFill>
                  <pic:spPr>
                    <a:xfrm>
                      <a:off x="0" y="0"/>
                      <a:ext cx="5205730" cy="3359150"/>
                    </a:xfrm>
                    <a:prstGeom prst="rect">
                      <a:avLst/>
                    </a:prstGeom>
                  </pic:spPr>
                </pic:pic>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1</w:t>
      </w:r>
      <w:r>
        <w:rPr>
          <w:rFonts w:hint="eastAsia" w:ascii="仿宋" w:hAnsi="仿宋" w:eastAsia="仿宋"/>
          <w:b/>
          <w:color w:val="C55A11" w:themeColor="accent2" w:themeShade="BF"/>
          <w:sz w:val="24"/>
          <w:szCs w:val="24"/>
        </w:rPr>
        <w:t>0：</w:t>
      </w:r>
      <w:r>
        <w:rPr>
          <w:rFonts w:hint="eastAsia" w:ascii="仿宋" w:hAnsi="仿宋" w:eastAsia="仿宋"/>
          <w:b/>
          <w:sz w:val="24"/>
          <w:szCs w:val="24"/>
        </w:rPr>
        <w:t>我院乌兰牧骑在庆祝新中国成立70周年合唱比赛上的精彩演出</w:t>
      </w: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jc w:val="center"/>
        <w:rPr>
          <w:rFonts w:ascii="仿宋" w:hAnsi="仿宋" w:eastAsia="仿宋"/>
          <w:b/>
          <w:sz w:val="24"/>
          <w:szCs w:val="24"/>
        </w:rPr>
      </w:pPr>
      <w:r>
        <w:rPr>
          <w:rFonts w:ascii="仿宋" w:hAnsi="仿宋" w:eastAsia="仿宋"/>
          <w:b/>
          <w:sz w:val="24"/>
          <w:szCs w:val="24"/>
        </w:rPr>
        <w:t>表</w:t>
      </w:r>
      <w:r>
        <w:rPr>
          <w:rFonts w:hint="eastAsia" w:ascii="仿宋" w:hAnsi="仿宋" w:eastAsia="仿宋"/>
          <w:b/>
          <w:sz w:val="24"/>
          <w:szCs w:val="24"/>
        </w:rPr>
        <w:t>1-</w:t>
      </w:r>
      <w:r>
        <w:rPr>
          <w:rFonts w:ascii="仿宋" w:hAnsi="仿宋" w:eastAsia="仿宋"/>
          <w:b/>
          <w:sz w:val="24"/>
          <w:szCs w:val="24"/>
        </w:rPr>
        <w:t>2 学生反馈表</w:t>
      </w:r>
    </w:p>
    <w:tbl>
      <w:tblPr>
        <w:tblStyle w:val="11"/>
        <w:tblW w:w="8505" w:type="dxa"/>
        <w:jc w:val="center"/>
        <w:tblInd w:w="0" w:type="dxa"/>
        <w:tblLayout w:type="fixed"/>
        <w:tblCellMar>
          <w:top w:w="0" w:type="dxa"/>
          <w:left w:w="0" w:type="dxa"/>
          <w:bottom w:w="0" w:type="dxa"/>
          <w:right w:w="0" w:type="dxa"/>
        </w:tblCellMar>
      </w:tblPr>
      <w:tblGrid>
        <w:gridCol w:w="983"/>
        <w:gridCol w:w="1275"/>
        <w:gridCol w:w="1560"/>
        <w:gridCol w:w="1176"/>
        <w:gridCol w:w="1047"/>
        <w:gridCol w:w="1232"/>
        <w:gridCol w:w="1232"/>
      </w:tblGrid>
      <w:tr>
        <w:tblPrEx>
          <w:tblLayout w:type="fixed"/>
          <w:tblCellMar>
            <w:top w:w="0" w:type="dxa"/>
            <w:left w:w="0" w:type="dxa"/>
            <w:bottom w:w="0" w:type="dxa"/>
            <w:right w:w="0" w:type="dxa"/>
          </w:tblCellMar>
        </w:tblPrEx>
        <w:trPr>
          <w:trHeight w:val="177" w:hRule="atLeast"/>
          <w:jc w:val="center"/>
        </w:trPr>
        <w:tc>
          <w:tcPr>
            <w:tcW w:w="983" w:type="dxa"/>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序号</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指标</w:t>
            </w:r>
          </w:p>
        </w:tc>
        <w:tc>
          <w:tcPr>
            <w:tcW w:w="1047" w:type="dxa"/>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单位</w:t>
            </w:r>
          </w:p>
        </w:tc>
        <w:tc>
          <w:tcPr>
            <w:tcW w:w="1232" w:type="dxa"/>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一年级</w:t>
            </w:r>
          </w:p>
        </w:tc>
        <w:tc>
          <w:tcPr>
            <w:tcW w:w="1232" w:type="dxa"/>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二年级</w:t>
            </w:r>
          </w:p>
        </w:tc>
      </w:tr>
      <w:tr>
        <w:tblPrEx>
          <w:tblLayout w:type="fixed"/>
          <w:tblCellMar>
            <w:top w:w="0" w:type="dxa"/>
            <w:left w:w="0" w:type="dxa"/>
            <w:bottom w:w="0" w:type="dxa"/>
            <w:right w:w="0" w:type="dxa"/>
          </w:tblCellMar>
        </w:tblPrEx>
        <w:trPr>
          <w:trHeight w:val="171" w:hRule="atLeast"/>
          <w:jc w:val="center"/>
        </w:trPr>
        <w:tc>
          <w:tcPr>
            <w:tcW w:w="983" w:type="dxa"/>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1</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全日制在校生人数</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2294</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2173</w:t>
            </w:r>
          </w:p>
        </w:tc>
      </w:tr>
      <w:tr>
        <w:tblPrEx>
          <w:tblLayout w:type="fixed"/>
          <w:tblCellMar>
            <w:top w:w="0" w:type="dxa"/>
            <w:left w:w="0" w:type="dxa"/>
            <w:bottom w:w="0" w:type="dxa"/>
            <w:right w:w="0" w:type="dxa"/>
          </w:tblCellMar>
        </w:tblPrEx>
        <w:trPr>
          <w:trHeight w:val="171" w:hRule="atLeast"/>
          <w:jc w:val="center"/>
        </w:trPr>
        <w:tc>
          <w:tcPr>
            <w:tcW w:w="983" w:type="dxa"/>
            <w:vMerge w:val="restart"/>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教书育人满意度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（1）课堂育人</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调研人次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10178</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13517</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91.56</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91.32</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（2）课外育人</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调研人次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1631</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1742</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98.68</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98.08</w:t>
            </w:r>
          </w:p>
        </w:tc>
      </w:tr>
      <w:tr>
        <w:tblPrEx>
          <w:tblLayout w:type="fixed"/>
          <w:tblCellMar>
            <w:top w:w="0" w:type="dxa"/>
            <w:left w:w="0" w:type="dxa"/>
            <w:bottom w:w="0" w:type="dxa"/>
            <w:right w:w="0" w:type="dxa"/>
          </w:tblCellMar>
        </w:tblPrEx>
        <w:trPr>
          <w:trHeight w:val="177" w:hRule="atLeast"/>
          <w:jc w:val="center"/>
        </w:trPr>
        <w:tc>
          <w:tcPr>
            <w:tcW w:w="983" w:type="dxa"/>
            <w:vMerge w:val="restart"/>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3</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课程教学满意度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（1）思想政治课</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调研课次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课次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142</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58</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95.16</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95.27</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（2）公共基础课（不含思想政治课）</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调研课次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课次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212</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201</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94.34</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95.11</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（3）专业课教学</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调研课次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课次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371</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412</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91.32</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91.34</w:t>
            </w:r>
          </w:p>
        </w:tc>
      </w:tr>
      <w:tr>
        <w:tblPrEx>
          <w:tblLayout w:type="fixed"/>
          <w:tblCellMar>
            <w:top w:w="0" w:type="dxa"/>
            <w:left w:w="0" w:type="dxa"/>
            <w:bottom w:w="0" w:type="dxa"/>
            <w:right w:w="0" w:type="dxa"/>
          </w:tblCellMar>
        </w:tblPrEx>
        <w:trPr>
          <w:trHeight w:val="171" w:hRule="atLeast"/>
          <w:jc w:val="center"/>
        </w:trPr>
        <w:tc>
          <w:tcPr>
            <w:tcW w:w="983" w:type="dxa"/>
            <w:vMerge w:val="restart"/>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4</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管理和服务工作满意度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（1）学生工作</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调研人次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1896</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1903</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96.87</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97.13</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（2）教学管理</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调研人次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1890</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1882</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97.03</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98.14</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（3）后勤服务</w:t>
            </w: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调研人次</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人次</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1212</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1289</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jc w:val="center"/>
              <w:rPr>
                <w:rFonts w:ascii="黑体" w:hAnsi="黑体" w:eastAsia="黑体"/>
                <w:color w:val="FFFFFF" w:themeColor="background1"/>
                <w:sz w:val="24"/>
                <w:szCs w:val="24"/>
                <w14:textFill>
                  <w14:solidFill>
                    <w14:schemeClr w14:val="bg1"/>
                  </w14:solidFill>
                </w14:textFill>
              </w:rPr>
            </w:pPr>
          </w:p>
        </w:tc>
        <w:tc>
          <w:tcPr>
            <w:tcW w:w="2835" w:type="dxa"/>
            <w:gridSpan w:val="2"/>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176"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满意度</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95.01</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95.78</w:t>
            </w:r>
          </w:p>
        </w:tc>
      </w:tr>
      <w:tr>
        <w:tblPrEx>
          <w:tblLayout w:type="fixed"/>
          <w:tblCellMar>
            <w:top w:w="0" w:type="dxa"/>
            <w:left w:w="0" w:type="dxa"/>
            <w:bottom w:w="0" w:type="dxa"/>
            <w:right w:w="0" w:type="dxa"/>
          </w:tblCellMar>
        </w:tblPrEx>
        <w:trPr>
          <w:trHeight w:val="171" w:hRule="atLeast"/>
          <w:jc w:val="center"/>
        </w:trPr>
        <w:tc>
          <w:tcPr>
            <w:tcW w:w="983" w:type="dxa"/>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5</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学生参与志愿者活动时间</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人日</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59078</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58855</w:t>
            </w:r>
          </w:p>
        </w:tc>
      </w:tr>
      <w:tr>
        <w:tblPrEx>
          <w:tblLayout w:type="fixed"/>
          <w:tblCellMar>
            <w:top w:w="0" w:type="dxa"/>
            <w:left w:w="0" w:type="dxa"/>
            <w:bottom w:w="0" w:type="dxa"/>
            <w:right w:w="0" w:type="dxa"/>
          </w:tblCellMar>
        </w:tblPrEx>
        <w:trPr>
          <w:trHeight w:val="177" w:hRule="atLeast"/>
          <w:jc w:val="center"/>
        </w:trPr>
        <w:tc>
          <w:tcPr>
            <w:tcW w:w="983" w:type="dxa"/>
            <w:vMerge w:val="restart"/>
            <w:tcBorders>
              <w:top w:val="single" w:color="FFFFFF" w:sz="8" w:space="0"/>
              <w:left w:val="single" w:color="FFFFFF" w:sz="8" w:space="0"/>
              <w:bottom w:val="single" w:color="FFFFFF" w:sz="8" w:space="0"/>
              <w:right w:val="single" w:color="FFFFFF" w:sz="8" w:space="0"/>
            </w:tcBorders>
            <w:shd w:val="clear" w:color="auto" w:fill="4F81BD"/>
            <w:tcMar>
              <w:top w:w="15" w:type="dxa"/>
              <w:left w:w="53" w:type="dxa"/>
              <w:bottom w:w="0" w:type="dxa"/>
              <w:right w:w="5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6</w:t>
            </w:r>
          </w:p>
        </w:tc>
        <w:tc>
          <w:tcPr>
            <w:tcW w:w="4011" w:type="dxa"/>
            <w:gridSpan w:val="3"/>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学生社团参与度</w:t>
            </w:r>
          </w:p>
        </w:tc>
        <w:tc>
          <w:tcPr>
            <w:tcW w:w="1047"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w:t>
            </w: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c>
          <w:tcPr>
            <w:tcW w:w="1232" w:type="dxa"/>
            <w:tcBorders>
              <w:top w:val="single" w:color="FFFFFF" w:sz="8" w:space="0"/>
              <w:left w:val="single" w:color="FFFFFF" w:sz="8" w:space="0"/>
              <w:bottom w:val="single" w:color="FFFFFF" w:sz="8" w:space="0"/>
              <w:right w:val="single" w:color="FFFFFF" w:sz="8" w:space="0"/>
            </w:tcBorders>
            <w:shd w:val="clear" w:color="auto" w:fill="D2DEEF"/>
            <w:tcMar>
              <w:top w:w="15" w:type="dxa"/>
              <w:left w:w="53" w:type="dxa"/>
              <w:bottom w:w="0" w:type="dxa"/>
              <w:right w:w="53" w:type="dxa"/>
            </w:tcMar>
          </w:tcPr>
          <w:p>
            <w:pPr>
              <w:jc w:val="center"/>
              <w:rPr>
                <w:rFonts w:ascii="黑体" w:hAnsi="黑体" w:eastAsia="黑体"/>
                <w:sz w:val="24"/>
                <w:szCs w:val="24"/>
              </w:rPr>
            </w:pPr>
          </w:p>
        </w:tc>
      </w:tr>
      <w:tr>
        <w:tblPrEx>
          <w:tblLayout w:type="fixed"/>
          <w:tblCellMar>
            <w:top w:w="0" w:type="dxa"/>
            <w:left w:w="0" w:type="dxa"/>
            <w:bottom w:w="0" w:type="dxa"/>
            <w:right w:w="0" w:type="dxa"/>
          </w:tblCellMar>
        </w:tblPrEx>
        <w:trPr>
          <w:trHeight w:val="177"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rPr>
                <w:rFonts w:ascii="仿宋" w:hAnsi="仿宋" w:eastAsia="仿宋"/>
                <w:sz w:val="24"/>
                <w:szCs w:val="24"/>
              </w:rPr>
            </w:pPr>
          </w:p>
        </w:tc>
        <w:tc>
          <w:tcPr>
            <w:tcW w:w="1275"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（1）</w:t>
            </w:r>
          </w:p>
        </w:tc>
        <w:tc>
          <w:tcPr>
            <w:tcW w:w="273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学生社团数</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个</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28</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28</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rPr>
                <w:rFonts w:ascii="仿宋" w:hAnsi="仿宋" w:eastAsia="仿宋"/>
                <w:sz w:val="24"/>
                <w:szCs w:val="24"/>
              </w:rPr>
            </w:pPr>
          </w:p>
        </w:tc>
        <w:tc>
          <w:tcPr>
            <w:tcW w:w="1275"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273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rPr>
                <w:rFonts w:ascii="仿宋" w:hAnsi="仿宋" w:eastAsia="仿宋"/>
                <w:sz w:val="24"/>
                <w:szCs w:val="24"/>
              </w:rPr>
            </w:pPr>
            <w:r>
              <w:rPr>
                <w:rFonts w:ascii="仿宋" w:hAnsi="仿宋" w:eastAsia="仿宋"/>
                <w:sz w:val="24"/>
                <w:szCs w:val="24"/>
              </w:rPr>
              <w:t>其中：科技社团数</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个</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4</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4</w:t>
            </w:r>
          </w:p>
        </w:tc>
      </w:tr>
      <w:tr>
        <w:tblPrEx>
          <w:tblLayout w:type="fixed"/>
          <w:tblCellMar>
            <w:top w:w="0" w:type="dxa"/>
            <w:left w:w="0" w:type="dxa"/>
            <w:bottom w:w="0" w:type="dxa"/>
            <w:right w:w="0" w:type="dxa"/>
          </w:tblCellMar>
        </w:tblPrEx>
        <w:trPr>
          <w:trHeight w:val="304"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rPr>
                <w:rFonts w:ascii="仿宋" w:hAnsi="仿宋" w:eastAsia="仿宋"/>
                <w:sz w:val="24"/>
                <w:szCs w:val="24"/>
              </w:rPr>
            </w:pPr>
          </w:p>
        </w:tc>
        <w:tc>
          <w:tcPr>
            <w:tcW w:w="1275"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（2）</w:t>
            </w:r>
          </w:p>
        </w:tc>
        <w:tc>
          <w:tcPr>
            <w:tcW w:w="273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参与各社团的学生人数</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1981</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1403</w:t>
            </w:r>
          </w:p>
        </w:tc>
      </w:tr>
      <w:tr>
        <w:tblPrEx>
          <w:tblLayout w:type="fixed"/>
          <w:tblCellMar>
            <w:top w:w="0" w:type="dxa"/>
            <w:left w:w="0" w:type="dxa"/>
            <w:bottom w:w="0" w:type="dxa"/>
            <w:right w:w="0" w:type="dxa"/>
          </w:tblCellMar>
        </w:tblPrEx>
        <w:trPr>
          <w:trHeight w:val="457" w:hRule="atLeast"/>
          <w:jc w:val="center"/>
        </w:trPr>
        <w:tc>
          <w:tcPr>
            <w:tcW w:w="983" w:type="dxa"/>
            <w:vMerge w:val="continue"/>
            <w:tcBorders>
              <w:top w:val="single" w:color="FFFFFF" w:sz="8" w:space="0"/>
              <w:left w:val="single" w:color="FFFFFF" w:sz="8" w:space="0"/>
              <w:bottom w:val="single" w:color="FFFFFF" w:sz="8" w:space="0"/>
              <w:right w:val="single" w:color="FFFFFF" w:sz="8" w:space="0"/>
            </w:tcBorders>
            <w:shd w:val="clear" w:color="auto" w:fill="4F81BD"/>
            <w:vAlign w:val="center"/>
          </w:tcPr>
          <w:p>
            <w:pPr>
              <w:rPr>
                <w:rFonts w:ascii="仿宋" w:hAnsi="仿宋" w:eastAsia="仿宋"/>
                <w:sz w:val="24"/>
                <w:szCs w:val="24"/>
              </w:rPr>
            </w:pPr>
          </w:p>
        </w:tc>
        <w:tc>
          <w:tcPr>
            <w:tcW w:w="1275"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273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其中：科技社团学生人数</w:t>
            </w:r>
          </w:p>
        </w:tc>
        <w:tc>
          <w:tcPr>
            <w:tcW w:w="10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vAlign w:val="center"/>
          </w:tcPr>
          <w:p>
            <w:pPr>
              <w:rPr>
                <w:rFonts w:ascii="仿宋" w:hAnsi="仿宋" w:eastAsia="仿宋"/>
                <w:sz w:val="24"/>
                <w:szCs w:val="24"/>
              </w:rPr>
            </w:pPr>
            <w:r>
              <w:rPr>
                <w:rFonts w:ascii="仿宋" w:hAnsi="仿宋" w:eastAsia="仿宋"/>
                <w:sz w:val="24"/>
                <w:szCs w:val="24"/>
              </w:rPr>
              <w:t>人</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ascii="黑体" w:hAnsi="黑体" w:eastAsia="黑体"/>
                <w:sz w:val="24"/>
                <w:szCs w:val="24"/>
              </w:rPr>
              <w:t>187</w:t>
            </w:r>
          </w:p>
        </w:tc>
        <w:tc>
          <w:tcPr>
            <w:tcW w:w="12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53" w:type="dxa"/>
              <w:bottom w:w="0" w:type="dxa"/>
              <w:right w:w="53" w:type="dxa"/>
            </w:tcMa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63</w:t>
            </w:r>
          </w:p>
        </w:tc>
      </w:tr>
    </w:tbl>
    <w:p>
      <w:pPr>
        <w:ind w:firstLine="643" w:firstLineChars="200"/>
        <w:rPr>
          <w:rFonts w:asciiTheme="minorEastAsia" w:hAnsiTheme="minorEastAsia"/>
          <w:sz w:val="32"/>
          <w:szCs w:val="32"/>
        </w:rPr>
      </w:pPr>
      <w:r>
        <w:rPr>
          <w:rFonts w:hint="eastAsia" w:asciiTheme="minorEastAsia" w:hAnsiTheme="minorEastAsia"/>
          <w:b/>
          <w:sz w:val="32"/>
          <w:szCs w:val="32"/>
        </w:rPr>
        <w:t>缤纷校园绽活力，魅力社团促成长。</w:t>
      </w:r>
      <w:r>
        <w:rPr>
          <w:rFonts w:hint="eastAsia" w:asciiTheme="minorEastAsia" w:hAnsiTheme="minorEastAsia"/>
          <w:sz w:val="32"/>
          <w:szCs w:val="32"/>
        </w:rPr>
        <w:t>学院紧紧围绕立德树人的根本任务，建立课程、科研、实践、文化、网络、心理、管理、服务、资助、组织等十大育人体系，通过第一课堂、第二课堂和思想政治理论课、社会实践等多种渠道，着力构建全员、全过程、全方位的“三全育人”工作格局，将社会主义核心价值观贯穿于教育教学全过程。大力开展多种形式的思想政治教育、主题教育、学习活动，组建各类学生社团28个，社团成员33</w:t>
      </w:r>
      <w:r>
        <w:rPr>
          <w:rFonts w:asciiTheme="minorEastAsia" w:hAnsiTheme="minorEastAsia"/>
          <w:sz w:val="32"/>
          <w:szCs w:val="32"/>
        </w:rPr>
        <w:t>84</w:t>
      </w:r>
      <w:r>
        <w:rPr>
          <w:rFonts w:hint="eastAsia" w:asciiTheme="minorEastAsia" w:hAnsiTheme="minorEastAsia"/>
          <w:sz w:val="32"/>
          <w:szCs w:val="32"/>
        </w:rPr>
        <w:t>名，每个社团都配备一名专业指导的党员教师，依托第二课堂、社团活动和青年志愿者服务，强调社团对学生德智体美劳的五育培养。从2018年9月至2019年11月末，组织社团活动3514次，参与人数达300274人次。依据“高校第二课堂大数据周报”数据，我院社团活动26次获得单日活动参与人数排名全国第一。</w:t>
      </w:r>
    </w:p>
    <w:p>
      <w:pPr>
        <w:jc w:val="center"/>
        <w:rPr>
          <w:rFonts w:ascii="仿宋" w:hAnsi="仿宋" w:eastAsia="仿宋"/>
          <w:b/>
          <w:sz w:val="24"/>
          <w:szCs w:val="24"/>
        </w:rPr>
      </w:pPr>
      <w:r>
        <w:rPr>
          <w:rFonts w:hint="eastAsia" w:ascii="仿宋" w:hAnsi="仿宋" w:eastAsia="仿宋"/>
          <w:b/>
          <w:sz w:val="24"/>
          <w:szCs w:val="24"/>
        </w:rPr>
        <w:t>表1-</w:t>
      </w:r>
      <w:r>
        <w:rPr>
          <w:rFonts w:ascii="仿宋" w:hAnsi="仿宋" w:eastAsia="仿宋"/>
          <w:b/>
          <w:sz w:val="24"/>
          <w:szCs w:val="24"/>
        </w:rPr>
        <w:t xml:space="preserve">3 </w:t>
      </w:r>
      <w:r>
        <w:rPr>
          <w:rFonts w:hint="eastAsia" w:ascii="仿宋" w:hAnsi="仿宋" w:eastAsia="仿宋"/>
          <w:b/>
          <w:sz w:val="24"/>
          <w:szCs w:val="24"/>
        </w:rPr>
        <w:t>通辽职业学院各类社团及其成员数</w:t>
      </w:r>
    </w:p>
    <w:tbl>
      <w:tblPr>
        <w:tblStyle w:val="11"/>
        <w:tblW w:w="8800" w:type="dxa"/>
        <w:jc w:val="center"/>
        <w:tblInd w:w="0" w:type="dxa"/>
        <w:tblLayout w:type="fixed"/>
        <w:tblCellMar>
          <w:top w:w="0" w:type="dxa"/>
          <w:left w:w="0" w:type="dxa"/>
          <w:bottom w:w="0" w:type="dxa"/>
          <w:right w:w="0" w:type="dxa"/>
        </w:tblCellMar>
      </w:tblPr>
      <w:tblGrid>
        <w:gridCol w:w="1257"/>
        <w:gridCol w:w="1257"/>
        <w:gridCol w:w="1257"/>
        <w:gridCol w:w="1257"/>
        <w:gridCol w:w="1257"/>
        <w:gridCol w:w="1257"/>
        <w:gridCol w:w="1258"/>
      </w:tblGrid>
      <w:tr>
        <w:tblPrEx>
          <w:tblLayout w:type="fixed"/>
          <w:tblCellMar>
            <w:top w:w="0" w:type="dxa"/>
            <w:left w:w="0" w:type="dxa"/>
            <w:bottom w:w="0" w:type="dxa"/>
            <w:right w:w="0" w:type="dxa"/>
          </w:tblCellMar>
        </w:tblPrEx>
        <w:trPr>
          <w:trHeight w:val="513" w:hRule="atLeast"/>
          <w:jc w:val="center"/>
        </w:trPr>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社团类别</w:t>
            </w:r>
          </w:p>
        </w:tc>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文体类</w:t>
            </w:r>
          </w:p>
        </w:tc>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传统文化类</w:t>
            </w:r>
          </w:p>
        </w:tc>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科技类</w:t>
            </w:r>
          </w:p>
        </w:tc>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职业技能类</w:t>
            </w:r>
          </w:p>
        </w:tc>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创新创业类</w:t>
            </w:r>
          </w:p>
        </w:tc>
        <w:tc>
          <w:tcPr>
            <w:tcW w:w="1258"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合计</w:t>
            </w:r>
          </w:p>
        </w:tc>
      </w:tr>
      <w:tr>
        <w:tblPrEx>
          <w:tblLayout w:type="fixed"/>
          <w:tblCellMar>
            <w:top w:w="0" w:type="dxa"/>
            <w:left w:w="0" w:type="dxa"/>
            <w:bottom w:w="0" w:type="dxa"/>
            <w:right w:w="0" w:type="dxa"/>
          </w:tblCellMar>
        </w:tblPrEx>
        <w:trPr>
          <w:trHeight w:val="428" w:hRule="atLeast"/>
          <w:jc w:val="center"/>
        </w:trPr>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社团个数</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16</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3</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4</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4</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1</w:t>
            </w:r>
          </w:p>
        </w:tc>
        <w:tc>
          <w:tcPr>
            <w:tcW w:w="1258"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28</w:t>
            </w:r>
          </w:p>
        </w:tc>
      </w:tr>
      <w:tr>
        <w:tblPrEx>
          <w:tblLayout w:type="fixed"/>
          <w:tblCellMar>
            <w:top w:w="0" w:type="dxa"/>
            <w:left w:w="0" w:type="dxa"/>
            <w:bottom w:w="0" w:type="dxa"/>
            <w:right w:w="0" w:type="dxa"/>
          </w:tblCellMar>
        </w:tblPrEx>
        <w:trPr>
          <w:trHeight w:val="408" w:hRule="atLeast"/>
          <w:jc w:val="center"/>
        </w:trPr>
        <w:tc>
          <w:tcPr>
            <w:tcW w:w="1257" w:type="dxa"/>
            <w:tcBorders>
              <w:top w:val="single" w:color="FFFFFF" w:sz="8" w:space="0"/>
              <w:left w:val="single" w:color="FFFFFF" w:sz="8" w:space="0"/>
              <w:bottom w:val="single" w:color="FFFFFF" w:sz="8" w:space="0"/>
              <w:right w:val="single" w:color="FFFFFF" w:sz="8" w:space="0"/>
            </w:tcBorders>
            <w:shd w:val="clear" w:color="auto" w:fill="4F81BD"/>
            <w:tcMar>
              <w:top w:w="15" w:type="dxa"/>
              <w:left w:w="15" w:type="dxa"/>
              <w:right w:w="15" w:type="dxa"/>
            </w:tcMar>
            <w:vAlign w:val="center"/>
          </w:tcPr>
          <w:p>
            <w:pPr>
              <w:widowControl/>
              <w:jc w:val="center"/>
              <w:textAlignment w:val="center"/>
              <w:rPr>
                <w:rFonts w:ascii="黑体" w:hAnsi="黑体" w:eastAsia="黑体" w:cs="宋体"/>
                <w:color w:val="FFFFFF"/>
                <w:kern w:val="0"/>
                <w:sz w:val="24"/>
                <w:szCs w:val="24"/>
                <w:lang w:bidi="ar"/>
              </w:rPr>
            </w:pPr>
            <w:r>
              <w:rPr>
                <w:rFonts w:hint="eastAsia" w:ascii="黑体" w:hAnsi="黑体" w:eastAsia="黑体" w:cs="宋体"/>
                <w:color w:val="FFFFFF"/>
                <w:kern w:val="0"/>
                <w:sz w:val="24"/>
                <w:szCs w:val="24"/>
                <w:lang w:bidi="ar"/>
              </w:rPr>
              <w:t>成员人数</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1968</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564</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ascii="黑体" w:hAnsi="黑体" w:eastAsia="黑体" w:cs="仿宋_GB2312"/>
                <w:kern w:val="0"/>
                <w:sz w:val="24"/>
                <w:szCs w:val="24"/>
                <w:lang w:bidi="ar"/>
              </w:rPr>
              <w:t>450</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356</w:t>
            </w:r>
          </w:p>
        </w:tc>
        <w:tc>
          <w:tcPr>
            <w:tcW w:w="1257"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46</w:t>
            </w:r>
          </w:p>
        </w:tc>
        <w:tc>
          <w:tcPr>
            <w:tcW w:w="1258" w:type="dxa"/>
            <w:tcBorders>
              <w:top w:val="single" w:color="FFFFFF" w:sz="8" w:space="0"/>
              <w:left w:val="single" w:color="FFFFFF" w:sz="8" w:space="0"/>
              <w:bottom w:val="single" w:color="FFFFFF" w:sz="8" w:space="0"/>
              <w:right w:val="single" w:color="FFFFFF" w:sz="8" w:space="0"/>
            </w:tcBorders>
            <w:shd w:val="clear" w:color="auto" w:fill="C5D9F1"/>
            <w:tcMar>
              <w:top w:w="15" w:type="dxa"/>
              <w:left w:w="15" w:type="dxa"/>
              <w:right w:w="15" w:type="dxa"/>
            </w:tcMar>
            <w:vAlign w:val="center"/>
          </w:tcPr>
          <w:p>
            <w:pPr>
              <w:widowControl/>
              <w:jc w:val="center"/>
              <w:textAlignment w:val="top"/>
              <w:rPr>
                <w:rFonts w:ascii="黑体" w:hAnsi="黑体" w:eastAsia="黑体" w:cs="仿宋_GB2312"/>
                <w:color w:val="000000"/>
                <w:sz w:val="24"/>
                <w:szCs w:val="24"/>
              </w:rPr>
            </w:pPr>
            <w:r>
              <w:rPr>
                <w:rFonts w:hint="eastAsia" w:ascii="黑体" w:hAnsi="黑体" w:eastAsia="黑体" w:cs="仿宋_GB2312"/>
                <w:color w:val="000000"/>
                <w:kern w:val="0"/>
                <w:sz w:val="24"/>
                <w:szCs w:val="24"/>
                <w:lang w:bidi="ar"/>
              </w:rPr>
              <w:t>33</w:t>
            </w:r>
            <w:r>
              <w:rPr>
                <w:rFonts w:ascii="黑体" w:hAnsi="黑体" w:eastAsia="黑体" w:cs="仿宋_GB2312"/>
                <w:color w:val="000000"/>
                <w:kern w:val="0"/>
                <w:sz w:val="24"/>
                <w:szCs w:val="24"/>
                <w:lang w:bidi="ar"/>
              </w:rPr>
              <w:t>84</w:t>
            </w:r>
          </w:p>
        </w:tc>
      </w:tr>
    </w:tbl>
    <w:p>
      <w:pPr>
        <w:jc w:val="center"/>
        <w:rPr>
          <w:rFonts w:ascii="仿宋" w:hAnsi="仿宋" w:eastAsia="仿宋"/>
          <w:sz w:val="24"/>
          <w:szCs w:val="24"/>
        </w:rPr>
      </w:pPr>
      <w:r>
        <w:rPr>
          <w:rFonts w:hint="eastAsia" w:ascii="仿宋" w:hAnsi="仿宋" w:eastAsia="仿宋"/>
          <w:sz w:val="24"/>
          <w:szCs w:val="24"/>
        </w:rPr>
        <w:t>▲</w:t>
      </w:r>
      <w:r>
        <w:rPr>
          <w:rFonts w:hint="eastAsia" w:ascii="黑体" w:hAnsi="黑体" w:eastAsia="黑体"/>
          <w:sz w:val="24"/>
          <w:szCs w:val="24"/>
        </w:rPr>
        <w:t>数据来源：通辽职业学院团委</w:t>
      </w:r>
    </w:p>
    <w:p>
      <w:pPr>
        <w:rPr>
          <w:rFonts w:ascii="仿宋" w:hAnsi="仿宋" w:eastAsia="仿宋"/>
          <w:sz w:val="32"/>
          <w:szCs w:val="32"/>
        </w:rPr>
      </w:pPr>
      <w:r>
        <w:rPr>
          <w:rFonts w:hint="eastAsia" w:ascii="仿宋" w:hAnsi="仿宋" w:eastAsia="仿宋"/>
          <w:color w:val="C55A11" w:themeColor="accent2" w:themeShade="BF"/>
          <w:sz w:val="32"/>
          <w:szCs w:val="32"/>
        </w:rPr>
        <w:t>【案例5】文明校园“八创建” 构筑文明校园</w:t>
      </w:r>
    </w:p>
    <w:p>
      <w:pPr>
        <w:ind w:firstLine="640" w:firstLineChars="200"/>
        <w:rPr>
          <w:rFonts w:ascii="仿宋" w:hAnsi="仿宋" w:eastAsia="仿宋"/>
          <w:sz w:val="32"/>
          <w:szCs w:val="32"/>
        </w:rPr>
      </w:pPr>
      <w:r>
        <w:rPr>
          <w:rFonts w:hint="eastAsia" w:ascii="仿宋" w:hAnsi="仿宋" w:eastAsia="仿宋"/>
          <w:sz w:val="32"/>
          <w:szCs w:val="32"/>
        </w:rPr>
        <w:t>围绕贯彻落实社会主义核心价值观和精神文明建设要求，以文明校园“六个好”为标准，以创建国家级文明校园为目标，启动实施文明校园“八创建”活动（文明学生、文明班级、文明宿舍、文明系部、文明处室、文明教工、文明食堂、文明环境），从师生、系部、学院三个层面将创建任务分解为八个系列，明确创建标准，制定文明公约，实现全员参与、全面覆盖，将文明素养贯穿到教育教学、管理服务乃至师生学习工作生活的各个环节。目前，创建自治区文明校园工作已通过自治区评审和公示。</w:t>
      </w:r>
    </w:p>
    <w:p>
      <w:pPr>
        <w:rPr>
          <w:rFonts w:ascii="仿宋" w:hAnsi="仿宋" w:eastAsia="仿宋"/>
          <w:sz w:val="32"/>
          <w:szCs w:val="32"/>
        </w:rPr>
      </w:pPr>
      <w:r>
        <w:rPr>
          <w:rFonts w:hint="eastAsia" w:eastAsia="仿宋_GB2312"/>
          <w:sz w:val="32"/>
          <w:szCs w:val="32"/>
        </w:rPr>
        <w:drawing>
          <wp:inline distT="0" distB="0" distL="0" distR="0">
            <wp:extent cx="5274310" cy="3627120"/>
            <wp:effectExtent l="0" t="0" r="2540" b="0"/>
            <wp:docPr id="4" name="图片 4" descr="IMG_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645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3627580"/>
                    </a:xfrm>
                    <a:prstGeom prst="rect">
                      <a:avLst/>
                    </a:prstGeom>
                    <a:noFill/>
                    <a:ln>
                      <a:noFill/>
                    </a:ln>
                  </pic:spPr>
                </pic:pic>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11</w:t>
      </w:r>
      <w:r>
        <w:rPr>
          <w:rFonts w:hint="eastAsia" w:ascii="仿宋" w:hAnsi="仿宋" w:eastAsia="仿宋"/>
          <w:b/>
          <w:color w:val="C55A11" w:themeColor="accent2" w:themeShade="BF"/>
          <w:sz w:val="24"/>
          <w:szCs w:val="24"/>
        </w:rPr>
        <w:t>：</w:t>
      </w:r>
      <w:r>
        <w:rPr>
          <w:rFonts w:hint="eastAsia" w:ascii="仿宋" w:hAnsi="仿宋" w:eastAsia="仿宋"/>
          <w:b/>
          <w:sz w:val="24"/>
          <w:szCs w:val="24"/>
        </w:rPr>
        <w:t>文明</w:t>
      </w:r>
      <w:r>
        <w:rPr>
          <w:rFonts w:ascii="仿宋" w:hAnsi="仿宋" w:eastAsia="仿宋"/>
          <w:b/>
          <w:sz w:val="24"/>
          <w:szCs w:val="24"/>
        </w:rPr>
        <w:t>校园八创建</w:t>
      </w:r>
    </w:p>
    <w:p>
      <w:pPr>
        <w:pStyle w:val="3"/>
      </w:pPr>
      <w:bookmarkStart w:id="14" w:name="_Toc29890"/>
      <w:bookmarkStart w:id="15" w:name="_Toc28254440"/>
      <w:r>
        <w:rPr>
          <w:rFonts w:hint="eastAsia"/>
        </w:rPr>
        <w:t>1.5</w:t>
      </w:r>
      <w:r>
        <w:t xml:space="preserve"> </w:t>
      </w:r>
      <w:r>
        <w:rPr>
          <w:rFonts w:hint="eastAsia"/>
        </w:rPr>
        <w:t>职业发展</w:t>
      </w:r>
      <w:bookmarkEnd w:id="14"/>
      <w:bookmarkEnd w:id="15"/>
    </w:p>
    <w:p>
      <w:pPr>
        <w:ind w:firstLine="640" w:firstLineChars="200"/>
        <w:rPr>
          <w:rFonts w:ascii="仿宋" w:hAnsi="仿宋" w:eastAsia="仿宋"/>
          <w:sz w:val="32"/>
          <w:szCs w:val="32"/>
        </w:rPr>
      </w:pPr>
      <w:r>
        <w:rPr>
          <w:rFonts w:hint="eastAsia" w:ascii="仿宋" w:hAnsi="仿宋" w:eastAsia="仿宋"/>
          <w:sz w:val="32"/>
          <w:szCs w:val="32"/>
        </w:rPr>
        <w:t>各专业在课堂教学、实践实训过程中，注重学生的专业技能和职业品格的养成教育，大力弘扬精益求精的工匠精神，注重专业设置与产业需求对接、课程内容与职业标准对接、教学过程与生产过程对接，强化岗位标准，形成“突出技能培养、锻造职业品格”的职业发展方向。借助参加各级各类技能大赛和“自治区职工科技创新工作室”、“科尔沁版画工作室”等创新教育平台的具体实践活动，锻炼学生岗位工作能力、培养职业素养、促进学生职业发展。护理专业学生参加2019年自治区护理技能大赛获得一等奖，团队已经打造成一支自2012年起，参加内蒙古自治区和全国护理技能大赛，连续六届参加自治区护理技能大赛并取得优异成绩，2015年获得全国一等奖、2016、2017年获得全国三等奖的优秀团队。</w:t>
      </w:r>
    </w:p>
    <w:p>
      <w:pPr>
        <w:jc w:val="center"/>
        <w:rPr>
          <w:rFonts w:ascii="仿宋" w:hAnsi="仿宋" w:eastAsia="仿宋"/>
          <w:sz w:val="32"/>
          <w:szCs w:val="32"/>
        </w:rPr>
      </w:pPr>
      <w:r>
        <w:rPr>
          <w:rFonts w:hint="eastAsia" w:ascii="仿宋" w:hAnsi="仿宋" w:eastAsia="仿宋"/>
          <w:b/>
          <w:sz w:val="24"/>
          <w:szCs w:val="24"/>
        </w:rPr>
        <w:t>表1-</w:t>
      </w:r>
      <w:r>
        <w:rPr>
          <w:rFonts w:ascii="仿宋" w:hAnsi="仿宋" w:eastAsia="仿宋"/>
          <w:b/>
          <w:sz w:val="24"/>
          <w:szCs w:val="24"/>
        </w:rPr>
        <w:t xml:space="preserve">4 </w:t>
      </w:r>
      <w:r>
        <w:rPr>
          <w:rFonts w:hint="eastAsia" w:ascii="仿宋" w:hAnsi="仿宋" w:eastAsia="仿宋"/>
          <w:b/>
          <w:sz w:val="24"/>
          <w:szCs w:val="24"/>
        </w:rPr>
        <w:t>2018—2019学年技能大赛获奖学生统计表</w:t>
      </w:r>
    </w:p>
    <w:tbl>
      <w:tblPr>
        <w:tblStyle w:val="11"/>
        <w:tblW w:w="8070" w:type="dxa"/>
        <w:jc w:val="center"/>
        <w:tblInd w:w="0" w:type="dxa"/>
        <w:tblLayout w:type="fixed"/>
        <w:tblCellMar>
          <w:top w:w="0" w:type="dxa"/>
          <w:left w:w="0" w:type="dxa"/>
          <w:bottom w:w="0" w:type="dxa"/>
          <w:right w:w="0" w:type="dxa"/>
        </w:tblCellMar>
      </w:tblPr>
      <w:tblGrid>
        <w:gridCol w:w="699"/>
        <w:gridCol w:w="2268"/>
        <w:gridCol w:w="1284"/>
        <w:gridCol w:w="1551"/>
        <w:gridCol w:w="1134"/>
        <w:gridCol w:w="1134"/>
      </w:tblGrid>
      <w:tr>
        <w:tblPrEx>
          <w:tblLayout w:type="fixed"/>
          <w:tblCellMar>
            <w:top w:w="0" w:type="dxa"/>
            <w:left w:w="0" w:type="dxa"/>
            <w:bottom w:w="0" w:type="dxa"/>
            <w:right w:w="0" w:type="dxa"/>
          </w:tblCellMar>
        </w:tblPrEx>
        <w:trPr>
          <w:trHeight w:val="227" w:hRule="atLeast"/>
          <w:jc w:val="center"/>
        </w:trPr>
        <w:tc>
          <w:tcPr>
            <w:tcW w:w="699" w:type="dxa"/>
            <w:tcBorders>
              <w:top w:val="single" w:color="FFFFFF" w:sz="8" w:space="0"/>
              <w:left w:val="single" w:color="FFFFFF" w:sz="8" w:space="0"/>
              <w:bottom w:val="single" w:color="FFFFFF" w:sz="24"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序号</w:t>
            </w:r>
          </w:p>
        </w:tc>
        <w:tc>
          <w:tcPr>
            <w:tcW w:w="2268" w:type="dxa"/>
            <w:tcBorders>
              <w:top w:val="single" w:color="FFFFFF" w:sz="8" w:space="0"/>
              <w:left w:val="single" w:color="FFFFFF" w:sz="8" w:space="0"/>
              <w:bottom w:val="single" w:color="FFFFFF" w:sz="24"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竞赛项目</w:t>
            </w:r>
          </w:p>
        </w:tc>
        <w:tc>
          <w:tcPr>
            <w:tcW w:w="1284" w:type="dxa"/>
            <w:tcBorders>
              <w:top w:val="single" w:color="FFFFFF" w:sz="8" w:space="0"/>
              <w:left w:val="single" w:color="FFFFFF" w:sz="8" w:space="0"/>
              <w:bottom w:val="single" w:color="FFFFFF" w:sz="24"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获奖等级</w:t>
            </w:r>
          </w:p>
        </w:tc>
        <w:tc>
          <w:tcPr>
            <w:tcW w:w="1551" w:type="dxa"/>
            <w:tcBorders>
              <w:top w:val="single" w:color="FFFFFF" w:sz="8" w:space="0"/>
              <w:left w:val="single" w:color="FFFFFF" w:sz="8" w:space="0"/>
              <w:bottom w:val="single" w:color="FFFFFF" w:sz="24"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教学系</w:t>
            </w:r>
          </w:p>
        </w:tc>
        <w:tc>
          <w:tcPr>
            <w:tcW w:w="1134" w:type="dxa"/>
            <w:tcBorders>
              <w:top w:val="single" w:color="FFFFFF" w:sz="8" w:space="0"/>
              <w:left w:val="single" w:color="FFFFFF" w:sz="8" w:space="0"/>
              <w:bottom w:val="single" w:color="FFFFFF" w:sz="24"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获奖学生</w:t>
            </w:r>
          </w:p>
        </w:tc>
        <w:tc>
          <w:tcPr>
            <w:tcW w:w="1134" w:type="dxa"/>
            <w:tcBorders>
              <w:top w:val="single" w:color="FFFFFF" w:sz="8" w:space="0"/>
              <w:left w:val="single" w:color="FFFFFF" w:sz="8" w:space="0"/>
              <w:bottom w:val="single" w:color="FFFFFF" w:sz="24"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指导教师</w:t>
            </w:r>
          </w:p>
        </w:tc>
      </w:tr>
      <w:tr>
        <w:tblPrEx>
          <w:tblLayout w:type="fixed"/>
          <w:tblCellMar>
            <w:top w:w="0" w:type="dxa"/>
            <w:left w:w="0" w:type="dxa"/>
            <w:bottom w:w="0" w:type="dxa"/>
            <w:right w:w="0" w:type="dxa"/>
          </w:tblCellMar>
        </w:tblPrEx>
        <w:trPr>
          <w:trHeight w:val="526" w:hRule="atLeast"/>
          <w:jc w:val="center"/>
        </w:trPr>
        <w:tc>
          <w:tcPr>
            <w:tcW w:w="699" w:type="dxa"/>
            <w:tcBorders>
              <w:top w:val="single" w:color="FFFFFF" w:sz="24"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w:t>
            </w:r>
          </w:p>
        </w:tc>
        <w:tc>
          <w:tcPr>
            <w:tcW w:w="2268" w:type="dxa"/>
            <w:tcBorders>
              <w:top w:val="single" w:color="FFFFFF" w:sz="24"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2019年内蒙古自治区高职院校护理技能大赛暨全国职业院校技能大赛内蒙古自治赛区选拔赛</w:t>
            </w:r>
          </w:p>
        </w:tc>
        <w:tc>
          <w:tcPr>
            <w:tcW w:w="1284" w:type="dxa"/>
            <w:tcBorders>
              <w:top w:val="single" w:color="FFFFFF" w:sz="24"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内蒙古自治区一等奖</w:t>
            </w:r>
          </w:p>
          <w:p>
            <w:pPr>
              <w:jc w:val="center"/>
              <w:rPr>
                <w:rFonts w:ascii="仿宋" w:hAnsi="仿宋" w:eastAsia="仿宋"/>
                <w:sz w:val="24"/>
                <w:szCs w:val="24"/>
              </w:rPr>
            </w:pPr>
          </w:p>
        </w:tc>
        <w:tc>
          <w:tcPr>
            <w:tcW w:w="1551" w:type="dxa"/>
            <w:tcBorders>
              <w:top w:val="single" w:color="FFFFFF" w:sz="24"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护理系</w:t>
            </w:r>
          </w:p>
        </w:tc>
        <w:tc>
          <w:tcPr>
            <w:tcW w:w="1134" w:type="dxa"/>
            <w:tcBorders>
              <w:top w:val="single" w:color="FFFFFF" w:sz="24"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王召雪</w:t>
            </w:r>
          </w:p>
        </w:tc>
        <w:tc>
          <w:tcPr>
            <w:tcW w:w="1134" w:type="dxa"/>
            <w:tcBorders>
              <w:top w:val="single" w:color="FFFFFF" w:sz="24"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牧其尔</w:t>
            </w:r>
          </w:p>
        </w:tc>
      </w:tr>
      <w:tr>
        <w:tblPrEx>
          <w:tblLayout w:type="fixed"/>
          <w:tblCellMar>
            <w:top w:w="0" w:type="dxa"/>
            <w:left w:w="0" w:type="dxa"/>
            <w:bottom w:w="0" w:type="dxa"/>
            <w:right w:w="0" w:type="dxa"/>
          </w:tblCellMar>
        </w:tblPrEx>
        <w:trPr>
          <w:trHeight w:val="466"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2019年内蒙古自治区高职院校护理技能大赛暨全国职业院校技能大赛内蒙古自治赛区选拔赛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内蒙古自治区二等奖</w:t>
            </w:r>
          </w:p>
          <w:p>
            <w:pPr>
              <w:jc w:val="center"/>
              <w:rPr>
                <w:rFonts w:ascii="仿宋" w:hAnsi="仿宋" w:eastAsia="仿宋"/>
                <w:sz w:val="24"/>
                <w:szCs w:val="24"/>
              </w:rPr>
            </w:pP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护理系</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王鑫宇</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任清馨</w:t>
            </w:r>
          </w:p>
        </w:tc>
      </w:tr>
      <w:tr>
        <w:tblPrEx>
          <w:tblLayout w:type="fixed"/>
          <w:tblCellMar>
            <w:top w:w="0" w:type="dxa"/>
            <w:left w:w="0" w:type="dxa"/>
            <w:bottom w:w="0" w:type="dxa"/>
            <w:right w:w="0" w:type="dxa"/>
          </w:tblCellMar>
        </w:tblPrEx>
        <w:trPr>
          <w:trHeight w:val="455"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3</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2019年内蒙古自治区高职院校护理技能大赛暨全国职业院校技能大赛内蒙古自治赛区选拔赛</w:t>
            </w: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内蒙古自治区二等奖</w:t>
            </w:r>
          </w:p>
          <w:p>
            <w:pPr>
              <w:jc w:val="center"/>
              <w:rPr>
                <w:rFonts w:ascii="仿宋" w:hAnsi="仿宋" w:eastAsia="仿宋"/>
                <w:sz w:val="24"/>
                <w:szCs w:val="24"/>
              </w:rPr>
            </w:pP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护理系</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刘洋</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尹玉华</w:t>
            </w:r>
          </w:p>
        </w:tc>
      </w:tr>
      <w:tr>
        <w:tblPrEx>
          <w:tblLayout w:type="fixed"/>
          <w:tblCellMar>
            <w:top w:w="0" w:type="dxa"/>
            <w:left w:w="0" w:type="dxa"/>
            <w:bottom w:w="0" w:type="dxa"/>
            <w:right w:w="0" w:type="dxa"/>
          </w:tblCellMar>
        </w:tblPrEx>
        <w:trPr>
          <w:trHeight w:val="475"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4</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2019年内蒙古自治区高职院校护理技能大赛暨全国职业院校技能大赛内蒙古自治赛区选拔赛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内蒙古自治区三等奖</w:t>
            </w:r>
          </w:p>
          <w:p>
            <w:pPr>
              <w:jc w:val="center"/>
              <w:rPr>
                <w:rFonts w:ascii="仿宋" w:hAnsi="仿宋" w:eastAsia="仿宋"/>
                <w:sz w:val="24"/>
                <w:szCs w:val="24"/>
              </w:rPr>
            </w:pP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护理系</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李思思</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焦萌</w:t>
            </w:r>
          </w:p>
        </w:tc>
      </w:tr>
      <w:tr>
        <w:tblPrEx>
          <w:tblLayout w:type="fixed"/>
          <w:tblCellMar>
            <w:top w:w="0" w:type="dxa"/>
            <w:left w:w="0" w:type="dxa"/>
            <w:bottom w:w="0" w:type="dxa"/>
            <w:right w:w="0" w:type="dxa"/>
          </w:tblCellMar>
        </w:tblPrEx>
        <w:trPr>
          <w:trHeight w:val="341"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5</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2018年荣获第四届中国“互联网+”大学生创新创业大赛</w:t>
            </w: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国家级铜奖</w:t>
            </w: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护理系</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张志华</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邱福翠</w:t>
            </w:r>
          </w:p>
          <w:p>
            <w:pPr>
              <w:jc w:val="center"/>
              <w:rPr>
                <w:rFonts w:ascii="仿宋" w:hAnsi="仿宋" w:eastAsia="仿宋"/>
                <w:sz w:val="24"/>
                <w:szCs w:val="24"/>
              </w:rPr>
            </w:pPr>
            <w:r>
              <w:rPr>
                <w:rFonts w:ascii="仿宋" w:hAnsi="仿宋" w:eastAsia="仿宋"/>
                <w:sz w:val="24"/>
                <w:szCs w:val="24"/>
              </w:rPr>
              <w:t>石丽艳</w:t>
            </w:r>
          </w:p>
        </w:tc>
      </w:tr>
      <w:tr>
        <w:tblPrEx>
          <w:tblLayout w:type="fixed"/>
          <w:tblCellMar>
            <w:top w:w="0" w:type="dxa"/>
            <w:left w:w="0" w:type="dxa"/>
            <w:bottom w:w="0" w:type="dxa"/>
            <w:right w:w="0" w:type="dxa"/>
          </w:tblCellMar>
        </w:tblPrEx>
        <w:trPr>
          <w:trHeight w:val="227"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6</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全国</w:t>
            </w:r>
            <w:r>
              <w:rPr>
                <w:rFonts w:hint="eastAsia" w:ascii="仿宋" w:hAnsi="仿宋" w:eastAsia="仿宋"/>
                <w:sz w:val="24"/>
                <w:szCs w:val="24"/>
              </w:rPr>
              <w:t>“</w:t>
            </w:r>
            <w:r>
              <w:rPr>
                <w:rFonts w:ascii="仿宋" w:hAnsi="仿宋" w:eastAsia="仿宋"/>
                <w:sz w:val="24"/>
                <w:szCs w:val="24"/>
              </w:rPr>
              <w:t>互联网+</w:t>
            </w:r>
            <w:r>
              <w:rPr>
                <w:rFonts w:hint="eastAsia" w:ascii="仿宋" w:hAnsi="仿宋" w:eastAsia="仿宋"/>
                <w:sz w:val="24"/>
                <w:szCs w:val="24"/>
              </w:rPr>
              <w:t>”</w:t>
            </w:r>
            <w:r>
              <w:rPr>
                <w:rFonts w:ascii="仿宋" w:hAnsi="仿宋" w:eastAsia="仿宋"/>
                <w:sz w:val="24"/>
                <w:szCs w:val="24"/>
              </w:rPr>
              <w:t>大学生创业大赛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内蒙古自治区银奖</w:t>
            </w: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药品食品系</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鲁振莹</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刘晓娟</w:t>
            </w:r>
          </w:p>
        </w:tc>
      </w:tr>
      <w:tr>
        <w:tblPrEx>
          <w:tblLayout w:type="fixed"/>
          <w:tblCellMar>
            <w:top w:w="0" w:type="dxa"/>
            <w:left w:w="0" w:type="dxa"/>
            <w:bottom w:w="0" w:type="dxa"/>
            <w:right w:w="0" w:type="dxa"/>
          </w:tblCellMar>
        </w:tblPrEx>
        <w:trPr>
          <w:trHeight w:val="387"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7</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内蒙古自治区主席杯校园足球四级联赛</w:t>
            </w: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高职高专组第二名</w:t>
            </w: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通辽职业学院</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宫娟娟</w:t>
            </w:r>
          </w:p>
          <w:p>
            <w:pPr>
              <w:jc w:val="center"/>
              <w:rPr>
                <w:rFonts w:ascii="仿宋" w:hAnsi="仿宋" w:eastAsia="仿宋"/>
                <w:sz w:val="24"/>
                <w:szCs w:val="24"/>
              </w:rPr>
            </w:pPr>
            <w:r>
              <w:rPr>
                <w:rFonts w:ascii="仿宋" w:hAnsi="仿宋" w:eastAsia="仿宋"/>
                <w:sz w:val="24"/>
                <w:szCs w:val="24"/>
              </w:rPr>
              <w:t>杨谦等</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王晓飞</w:t>
            </w:r>
          </w:p>
        </w:tc>
      </w:tr>
      <w:tr>
        <w:tblPrEx>
          <w:tblLayout w:type="fixed"/>
          <w:tblCellMar>
            <w:top w:w="0" w:type="dxa"/>
            <w:left w:w="0" w:type="dxa"/>
            <w:bottom w:w="0" w:type="dxa"/>
            <w:right w:w="0" w:type="dxa"/>
          </w:tblCellMar>
        </w:tblPrEx>
        <w:trPr>
          <w:trHeight w:val="336"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8</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内蒙古自治区级“学习强国，学习强我”比赛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自治区级三等奖</w:t>
            </w: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护理系</w:t>
            </w:r>
          </w:p>
          <w:p>
            <w:pPr>
              <w:jc w:val="center"/>
              <w:rPr>
                <w:rFonts w:ascii="仿宋" w:hAnsi="仿宋" w:eastAsia="仿宋"/>
                <w:sz w:val="24"/>
                <w:szCs w:val="24"/>
              </w:rPr>
            </w:pP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白仪博</w:t>
            </w:r>
          </w:p>
          <w:p>
            <w:pPr>
              <w:jc w:val="center"/>
              <w:rPr>
                <w:rFonts w:ascii="仿宋" w:hAnsi="仿宋" w:eastAsia="仿宋"/>
                <w:sz w:val="24"/>
                <w:szCs w:val="24"/>
              </w:rPr>
            </w:pPr>
            <w:r>
              <w:rPr>
                <w:rFonts w:ascii="仿宋" w:hAnsi="仿宋" w:eastAsia="仿宋"/>
                <w:sz w:val="24"/>
                <w:szCs w:val="24"/>
              </w:rPr>
              <w:t>李元</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227"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9</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内蒙古自治区英语口语大赛</w:t>
            </w: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自治区第二名</w:t>
            </w: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药品食品系</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陈仪</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佳佳</w:t>
            </w:r>
          </w:p>
        </w:tc>
      </w:tr>
      <w:tr>
        <w:tblPrEx>
          <w:tblLayout w:type="fixed"/>
          <w:tblCellMar>
            <w:top w:w="0" w:type="dxa"/>
            <w:left w:w="0" w:type="dxa"/>
            <w:bottom w:w="0" w:type="dxa"/>
            <w:right w:w="0" w:type="dxa"/>
          </w:tblCellMar>
        </w:tblPrEx>
        <w:trPr>
          <w:trHeight w:val="455"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10</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第一届吉林大药房杯东北四省区健康管理师技能竞赛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团体一等奖</w:t>
            </w: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药品食品系</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杜跃凡</w:t>
            </w:r>
          </w:p>
          <w:p>
            <w:pPr>
              <w:jc w:val="center"/>
              <w:rPr>
                <w:rFonts w:ascii="仿宋" w:hAnsi="仿宋" w:eastAsia="仿宋"/>
                <w:sz w:val="24"/>
                <w:szCs w:val="24"/>
              </w:rPr>
            </w:pPr>
            <w:r>
              <w:rPr>
                <w:rFonts w:ascii="仿宋" w:hAnsi="仿宋" w:eastAsia="仿宋"/>
                <w:sz w:val="24"/>
                <w:szCs w:val="24"/>
              </w:rPr>
              <w:t>王凤娇</w:t>
            </w:r>
          </w:p>
          <w:p>
            <w:pPr>
              <w:jc w:val="center"/>
              <w:rPr>
                <w:rFonts w:ascii="仿宋" w:hAnsi="仿宋" w:eastAsia="仿宋"/>
                <w:sz w:val="24"/>
                <w:szCs w:val="24"/>
              </w:rPr>
            </w:pPr>
            <w:r>
              <w:rPr>
                <w:rFonts w:ascii="仿宋" w:hAnsi="仿宋" w:eastAsia="仿宋"/>
                <w:sz w:val="24"/>
                <w:szCs w:val="24"/>
              </w:rPr>
              <w:t>秦涵</w:t>
            </w:r>
          </w:p>
          <w:p>
            <w:pPr>
              <w:jc w:val="center"/>
              <w:rPr>
                <w:rFonts w:ascii="仿宋" w:hAnsi="仿宋" w:eastAsia="仿宋"/>
                <w:sz w:val="24"/>
                <w:szCs w:val="24"/>
              </w:rPr>
            </w:pPr>
            <w:r>
              <w:rPr>
                <w:rFonts w:ascii="仿宋" w:hAnsi="仿宋" w:eastAsia="仿宋"/>
                <w:sz w:val="24"/>
                <w:szCs w:val="24"/>
              </w:rPr>
              <w:t>苏月伟</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吕帅</w:t>
            </w:r>
          </w:p>
          <w:p>
            <w:pPr>
              <w:jc w:val="center"/>
              <w:rPr>
                <w:rFonts w:ascii="仿宋" w:hAnsi="仿宋" w:eastAsia="仿宋"/>
                <w:sz w:val="24"/>
                <w:szCs w:val="24"/>
              </w:rPr>
            </w:pPr>
            <w:r>
              <w:rPr>
                <w:rFonts w:ascii="仿宋" w:hAnsi="仿宋" w:eastAsia="仿宋"/>
                <w:sz w:val="24"/>
                <w:szCs w:val="24"/>
              </w:rPr>
              <w:t>杨光</w:t>
            </w:r>
          </w:p>
        </w:tc>
      </w:tr>
      <w:tr>
        <w:tblPrEx>
          <w:tblLayout w:type="fixed"/>
          <w:tblCellMar>
            <w:top w:w="0" w:type="dxa"/>
            <w:left w:w="0" w:type="dxa"/>
            <w:bottom w:w="0" w:type="dxa"/>
            <w:right w:w="0" w:type="dxa"/>
          </w:tblCellMar>
        </w:tblPrEx>
        <w:trPr>
          <w:trHeight w:val="682"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11</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内蒙古自治区“福斯特杯”财税职业技能大赛</w:t>
            </w:r>
          </w:p>
          <w:p>
            <w:pPr>
              <w:jc w:val="center"/>
              <w:rPr>
                <w:rFonts w:ascii="仿宋" w:hAnsi="仿宋" w:eastAsia="仿宋"/>
                <w:sz w:val="24"/>
                <w:szCs w:val="24"/>
              </w:rPr>
            </w:pP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二等奖</w:t>
            </w: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纪彤</w:t>
            </w:r>
          </w:p>
          <w:p>
            <w:pPr>
              <w:jc w:val="center"/>
              <w:rPr>
                <w:rFonts w:ascii="仿宋" w:hAnsi="仿宋" w:eastAsia="仿宋"/>
                <w:sz w:val="24"/>
                <w:szCs w:val="24"/>
              </w:rPr>
            </w:pPr>
            <w:r>
              <w:rPr>
                <w:rFonts w:ascii="仿宋" w:hAnsi="仿宋" w:eastAsia="仿宋"/>
                <w:sz w:val="24"/>
                <w:szCs w:val="24"/>
              </w:rPr>
              <w:t>石文慧</w:t>
            </w:r>
          </w:p>
          <w:p>
            <w:pPr>
              <w:jc w:val="center"/>
              <w:rPr>
                <w:rFonts w:ascii="仿宋" w:hAnsi="仿宋" w:eastAsia="仿宋"/>
                <w:sz w:val="24"/>
                <w:szCs w:val="24"/>
              </w:rPr>
            </w:pPr>
            <w:r>
              <w:rPr>
                <w:rFonts w:ascii="仿宋" w:hAnsi="仿宋" w:eastAsia="仿宋"/>
                <w:sz w:val="24"/>
                <w:szCs w:val="24"/>
              </w:rPr>
              <w:t>金荣</w:t>
            </w:r>
          </w:p>
          <w:p>
            <w:pPr>
              <w:jc w:val="center"/>
              <w:rPr>
                <w:rFonts w:ascii="仿宋" w:hAnsi="仿宋" w:eastAsia="仿宋"/>
                <w:sz w:val="24"/>
                <w:szCs w:val="24"/>
              </w:rPr>
            </w:pPr>
            <w:r>
              <w:rPr>
                <w:rFonts w:ascii="仿宋" w:hAnsi="仿宋" w:eastAsia="仿宋"/>
                <w:sz w:val="24"/>
                <w:szCs w:val="24"/>
              </w:rPr>
              <w:t>张国娜</w:t>
            </w:r>
          </w:p>
          <w:p>
            <w:pPr>
              <w:jc w:val="center"/>
              <w:rPr>
                <w:rFonts w:ascii="仿宋" w:hAnsi="仿宋" w:eastAsia="仿宋"/>
                <w:sz w:val="24"/>
                <w:szCs w:val="24"/>
              </w:rPr>
            </w:pPr>
            <w:r>
              <w:rPr>
                <w:rFonts w:ascii="仿宋" w:hAnsi="仿宋" w:eastAsia="仿宋"/>
                <w:sz w:val="24"/>
                <w:szCs w:val="24"/>
              </w:rPr>
              <w:t>姜娅萍</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滕少华</w:t>
            </w:r>
          </w:p>
          <w:p>
            <w:pPr>
              <w:jc w:val="center"/>
              <w:rPr>
                <w:rFonts w:ascii="仿宋" w:hAnsi="仿宋" w:eastAsia="仿宋"/>
                <w:sz w:val="24"/>
                <w:szCs w:val="24"/>
              </w:rPr>
            </w:pPr>
            <w:r>
              <w:rPr>
                <w:rFonts w:ascii="仿宋" w:hAnsi="仿宋" w:eastAsia="仿宋"/>
                <w:sz w:val="24"/>
                <w:szCs w:val="24"/>
              </w:rPr>
              <w:t>哈申图雅</w:t>
            </w:r>
          </w:p>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455"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12</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2019年自治区高等职业院校暨全国职业院校技能大赛选拔赛建筑工识图赛项（高职组）</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内蒙古自治区二等奖</w:t>
            </w: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机电工程系</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王奇</w:t>
            </w:r>
          </w:p>
          <w:p>
            <w:pPr>
              <w:jc w:val="center"/>
              <w:rPr>
                <w:rFonts w:ascii="仿宋" w:hAnsi="仿宋" w:eastAsia="仿宋"/>
                <w:sz w:val="24"/>
                <w:szCs w:val="24"/>
              </w:rPr>
            </w:pPr>
            <w:r>
              <w:rPr>
                <w:rFonts w:ascii="仿宋" w:hAnsi="仿宋" w:eastAsia="仿宋"/>
                <w:sz w:val="24"/>
                <w:szCs w:val="24"/>
              </w:rPr>
              <w:t>刘壮</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韩冬</w:t>
            </w:r>
          </w:p>
          <w:p>
            <w:pPr>
              <w:jc w:val="center"/>
              <w:rPr>
                <w:rFonts w:ascii="仿宋" w:hAnsi="仿宋" w:eastAsia="仿宋"/>
                <w:sz w:val="24"/>
                <w:szCs w:val="24"/>
              </w:rPr>
            </w:pPr>
            <w:r>
              <w:rPr>
                <w:rFonts w:ascii="仿宋" w:hAnsi="仿宋" w:eastAsia="仿宋"/>
                <w:sz w:val="24"/>
                <w:szCs w:val="24"/>
              </w:rPr>
              <w:t>王永超</w:t>
            </w:r>
          </w:p>
        </w:tc>
      </w:tr>
      <w:tr>
        <w:tblPrEx>
          <w:tblLayout w:type="fixed"/>
          <w:tblCellMar>
            <w:top w:w="0" w:type="dxa"/>
            <w:left w:w="0" w:type="dxa"/>
            <w:bottom w:w="0" w:type="dxa"/>
            <w:right w:w="0" w:type="dxa"/>
          </w:tblCellMar>
        </w:tblPrEx>
        <w:trPr>
          <w:trHeight w:val="341"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13</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内蒙古自治区职业院校技能大赛汽车检测与维修赛项（高职组）</w:t>
            </w: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内蒙古自治区二等奖</w:t>
            </w: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机电工程系</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孙杨</w:t>
            </w:r>
          </w:p>
          <w:p>
            <w:pPr>
              <w:jc w:val="center"/>
              <w:rPr>
                <w:rFonts w:ascii="仿宋" w:hAnsi="仿宋" w:eastAsia="仿宋"/>
                <w:sz w:val="24"/>
                <w:szCs w:val="24"/>
              </w:rPr>
            </w:pPr>
            <w:r>
              <w:rPr>
                <w:rFonts w:ascii="仿宋" w:hAnsi="仿宋" w:eastAsia="仿宋"/>
                <w:sz w:val="24"/>
                <w:szCs w:val="24"/>
              </w:rPr>
              <w:t>梁志雄</w:t>
            </w:r>
          </w:p>
          <w:p>
            <w:pPr>
              <w:jc w:val="center"/>
              <w:rPr>
                <w:rFonts w:ascii="仿宋" w:hAnsi="仿宋" w:eastAsia="仿宋"/>
                <w:sz w:val="24"/>
                <w:szCs w:val="24"/>
              </w:rPr>
            </w:pPr>
            <w:r>
              <w:rPr>
                <w:rFonts w:ascii="仿宋" w:hAnsi="仿宋" w:eastAsia="仿宋"/>
                <w:sz w:val="24"/>
                <w:szCs w:val="24"/>
              </w:rPr>
              <w:t>姜宏超</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刘天博</w:t>
            </w:r>
          </w:p>
          <w:p>
            <w:pPr>
              <w:jc w:val="center"/>
              <w:rPr>
                <w:rFonts w:ascii="仿宋" w:hAnsi="仿宋" w:eastAsia="仿宋"/>
                <w:sz w:val="24"/>
                <w:szCs w:val="24"/>
              </w:rPr>
            </w:pPr>
            <w:r>
              <w:rPr>
                <w:rFonts w:ascii="仿宋" w:hAnsi="仿宋" w:eastAsia="仿宋"/>
                <w:sz w:val="24"/>
                <w:szCs w:val="24"/>
              </w:rPr>
              <w:t>安刚</w:t>
            </w:r>
          </w:p>
        </w:tc>
      </w:tr>
      <w:tr>
        <w:tblPrEx>
          <w:tblLayout w:type="fixed"/>
          <w:tblCellMar>
            <w:top w:w="0" w:type="dxa"/>
            <w:left w:w="0" w:type="dxa"/>
            <w:bottom w:w="0" w:type="dxa"/>
            <w:right w:w="0" w:type="dxa"/>
          </w:tblCellMar>
        </w:tblPrEx>
        <w:trPr>
          <w:trHeight w:val="341"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14</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2018年内蒙古职业院校技能大赛高职组物联网技术应用大赛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内蒙古自治区三等奖</w:t>
            </w: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霍云坤</w:t>
            </w:r>
          </w:p>
          <w:p>
            <w:pPr>
              <w:jc w:val="center"/>
              <w:rPr>
                <w:rFonts w:ascii="仿宋" w:hAnsi="仿宋" w:eastAsia="仿宋"/>
                <w:sz w:val="24"/>
                <w:szCs w:val="24"/>
              </w:rPr>
            </w:pPr>
            <w:r>
              <w:rPr>
                <w:rFonts w:ascii="仿宋" w:hAnsi="仿宋" w:eastAsia="仿宋"/>
                <w:sz w:val="24"/>
                <w:szCs w:val="24"/>
              </w:rPr>
              <w:t>裴爽</w:t>
            </w:r>
          </w:p>
          <w:p>
            <w:pPr>
              <w:jc w:val="center"/>
              <w:rPr>
                <w:rFonts w:ascii="仿宋" w:hAnsi="仿宋" w:eastAsia="仿宋"/>
                <w:sz w:val="24"/>
                <w:szCs w:val="24"/>
              </w:rPr>
            </w:pPr>
            <w:r>
              <w:rPr>
                <w:rFonts w:ascii="仿宋" w:hAnsi="仿宋" w:eastAsia="仿宋"/>
                <w:sz w:val="24"/>
                <w:szCs w:val="24"/>
              </w:rPr>
              <w:t>张双</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魏涛</w:t>
            </w:r>
          </w:p>
          <w:p>
            <w:pPr>
              <w:jc w:val="center"/>
              <w:rPr>
                <w:rFonts w:ascii="仿宋" w:hAnsi="仿宋" w:eastAsia="仿宋"/>
                <w:sz w:val="24"/>
                <w:szCs w:val="24"/>
              </w:rPr>
            </w:pPr>
            <w:r>
              <w:rPr>
                <w:rFonts w:ascii="仿宋" w:hAnsi="仿宋" w:eastAsia="仿宋"/>
                <w:sz w:val="24"/>
                <w:szCs w:val="24"/>
              </w:rPr>
              <w:t>张嫱</w:t>
            </w:r>
          </w:p>
        </w:tc>
      </w:tr>
      <w:tr>
        <w:tblPrEx>
          <w:tblLayout w:type="fixed"/>
          <w:tblCellMar>
            <w:top w:w="0" w:type="dxa"/>
            <w:left w:w="0" w:type="dxa"/>
            <w:bottom w:w="0" w:type="dxa"/>
            <w:right w:w="0" w:type="dxa"/>
          </w:tblCellMar>
        </w:tblPrEx>
        <w:trPr>
          <w:trHeight w:val="569"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15</w:t>
            </w:r>
          </w:p>
        </w:tc>
        <w:tc>
          <w:tcPr>
            <w:tcW w:w="22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2018年自治区高等职业院校即全国职业院校技能大赛选拨赛电子产品芯片级检测维修与数据恢复赛项</w:t>
            </w:r>
          </w:p>
        </w:tc>
        <w:tc>
          <w:tcPr>
            <w:tcW w:w="128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团体三等奖</w:t>
            </w:r>
          </w:p>
        </w:tc>
        <w:tc>
          <w:tcPr>
            <w:tcW w:w="1551"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刘鑫</w:t>
            </w:r>
          </w:p>
          <w:p>
            <w:pPr>
              <w:jc w:val="center"/>
              <w:rPr>
                <w:rFonts w:ascii="仿宋" w:hAnsi="仿宋" w:eastAsia="仿宋"/>
                <w:sz w:val="24"/>
                <w:szCs w:val="24"/>
              </w:rPr>
            </w:pPr>
            <w:r>
              <w:rPr>
                <w:rFonts w:ascii="仿宋" w:hAnsi="仿宋" w:eastAsia="仿宋"/>
                <w:sz w:val="24"/>
                <w:szCs w:val="24"/>
              </w:rPr>
              <w:t>孙博</w:t>
            </w:r>
          </w:p>
          <w:p>
            <w:pPr>
              <w:jc w:val="center"/>
              <w:rPr>
                <w:rFonts w:ascii="仿宋" w:hAnsi="仿宋" w:eastAsia="仿宋"/>
                <w:sz w:val="24"/>
                <w:szCs w:val="24"/>
              </w:rPr>
            </w:pPr>
            <w:r>
              <w:rPr>
                <w:rFonts w:ascii="仿宋" w:hAnsi="仿宋" w:eastAsia="仿宋"/>
                <w:sz w:val="24"/>
                <w:szCs w:val="24"/>
              </w:rPr>
              <w:t>白宇</w:t>
            </w:r>
          </w:p>
        </w:tc>
        <w:tc>
          <w:tcPr>
            <w:tcW w:w="1134" w:type="dxa"/>
            <w:tcBorders>
              <w:top w:val="single" w:color="FFFFFF" w:sz="8" w:space="0"/>
              <w:left w:val="single" w:color="FFFFFF" w:sz="8" w:space="0"/>
              <w:bottom w:val="single" w:color="FFFFFF" w:sz="8" w:space="0"/>
              <w:right w:val="single" w:color="FFFFFF" w:sz="8" w:space="0"/>
            </w:tcBorders>
            <w:shd w:val="clear" w:color="auto" w:fill="D2DEEF"/>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吴玉林</w:t>
            </w:r>
          </w:p>
          <w:p>
            <w:pPr>
              <w:jc w:val="center"/>
              <w:rPr>
                <w:rFonts w:ascii="仿宋" w:hAnsi="仿宋" w:eastAsia="仿宋"/>
                <w:sz w:val="24"/>
                <w:szCs w:val="24"/>
              </w:rPr>
            </w:pPr>
            <w:r>
              <w:rPr>
                <w:rFonts w:ascii="仿宋" w:hAnsi="仿宋" w:eastAsia="仿宋"/>
                <w:sz w:val="24"/>
                <w:szCs w:val="24"/>
              </w:rPr>
              <w:t>张婧</w:t>
            </w:r>
          </w:p>
        </w:tc>
      </w:tr>
      <w:tr>
        <w:tblPrEx>
          <w:tblLayout w:type="fixed"/>
          <w:tblCellMar>
            <w:top w:w="0" w:type="dxa"/>
            <w:left w:w="0" w:type="dxa"/>
            <w:bottom w:w="0" w:type="dxa"/>
            <w:right w:w="0" w:type="dxa"/>
          </w:tblCellMar>
        </w:tblPrEx>
        <w:trPr>
          <w:trHeight w:val="341" w:hRule="atLeast"/>
          <w:jc w:val="center"/>
        </w:trPr>
        <w:tc>
          <w:tcPr>
            <w:tcW w:w="699" w:type="dxa"/>
            <w:tcBorders>
              <w:top w:val="single" w:color="FFFFFF" w:sz="8" w:space="0"/>
              <w:left w:val="single" w:color="FFFFFF" w:sz="8" w:space="0"/>
              <w:bottom w:val="single" w:color="FFFFFF" w:sz="8" w:space="0"/>
              <w:right w:val="single" w:color="FFFFFF" w:sz="8" w:space="0"/>
            </w:tcBorders>
            <w:shd w:val="clear" w:color="auto" w:fill="5B9BD5"/>
            <w:tcMar>
              <w:top w:w="15" w:type="dxa"/>
              <w:left w:w="31" w:type="dxa"/>
              <w:bottom w:w="0" w:type="dxa"/>
              <w:right w:w="31"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16</w:t>
            </w:r>
          </w:p>
        </w:tc>
        <w:tc>
          <w:tcPr>
            <w:tcW w:w="22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内蒙古自治区高职学前教育技能大赛</w:t>
            </w:r>
          </w:p>
        </w:tc>
        <w:tc>
          <w:tcPr>
            <w:tcW w:w="128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三等奖</w:t>
            </w:r>
          </w:p>
        </w:tc>
        <w:tc>
          <w:tcPr>
            <w:tcW w:w="15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师范教育系</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r>
              <w:rPr>
                <w:rFonts w:ascii="仿宋" w:hAnsi="仿宋" w:eastAsia="仿宋"/>
                <w:sz w:val="24"/>
                <w:szCs w:val="24"/>
              </w:rPr>
              <w:t>宋亚洲</w:t>
            </w:r>
          </w:p>
          <w:p>
            <w:pPr>
              <w:jc w:val="center"/>
              <w:rPr>
                <w:rFonts w:ascii="仿宋" w:hAnsi="仿宋" w:eastAsia="仿宋"/>
                <w:sz w:val="24"/>
                <w:szCs w:val="24"/>
              </w:rPr>
            </w:pPr>
            <w:r>
              <w:rPr>
                <w:rFonts w:ascii="仿宋" w:hAnsi="仿宋" w:eastAsia="仿宋"/>
                <w:sz w:val="24"/>
                <w:szCs w:val="24"/>
              </w:rPr>
              <w:t>王宁</w:t>
            </w:r>
          </w:p>
          <w:p>
            <w:pPr>
              <w:jc w:val="center"/>
              <w:rPr>
                <w:rFonts w:ascii="仿宋" w:hAnsi="仿宋" w:eastAsia="仿宋"/>
                <w:sz w:val="24"/>
                <w:szCs w:val="24"/>
              </w:rPr>
            </w:pPr>
            <w:r>
              <w:rPr>
                <w:rFonts w:ascii="仿宋" w:hAnsi="仿宋" w:eastAsia="仿宋"/>
                <w:sz w:val="24"/>
                <w:szCs w:val="24"/>
              </w:rPr>
              <w:t>田晨</w:t>
            </w:r>
          </w:p>
        </w:tc>
        <w:tc>
          <w:tcPr>
            <w:tcW w:w="1134" w:type="dxa"/>
            <w:tcBorders>
              <w:top w:val="single" w:color="FFFFFF" w:sz="8" w:space="0"/>
              <w:left w:val="single" w:color="FFFFFF" w:sz="8" w:space="0"/>
              <w:bottom w:val="single" w:color="FFFFFF" w:sz="8" w:space="0"/>
              <w:right w:val="single" w:color="FFFFFF" w:sz="8" w:space="0"/>
            </w:tcBorders>
            <w:shd w:val="clear" w:color="auto" w:fill="EAEFF7"/>
            <w:tcMar>
              <w:top w:w="15" w:type="dxa"/>
              <w:left w:w="31" w:type="dxa"/>
              <w:bottom w:w="0" w:type="dxa"/>
              <w:right w:w="31" w:type="dxa"/>
            </w:tcMar>
            <w:vAlign w:val="center"/>
          </w:tcPr>
          <w:p>
            <w:pPr>
              <w:jc w:val="center"/>
              <w:rPr>
                <w:rFonts w:ascii="仿宋" w:hAnsi="仿宋" w:eastAsia="仿宋"/>
                <w:sz w:val="24"/>
                <w:szCs w:val="24"/>
              </w:rPr>
            </w:pPr>
          </w:p>
          <w:p>
            <w:pPr>
              <w:jc w:val="center"/>
              <w:rPr>
                <w:rFonts w:ascii="仿宋" w:hAnsi="仿宋" w:eastAsia="仿宋"/>
                <w:sz w:val="24"/>
                <w:szCs w:val="24"/>
              </w:rPr>
            </w:pPr>
            <w:r>
              <w:rPr>
                <w:rFonts w:ascii="仿宋" w:hAnsi="仿宋" w:eastAsia="仿宋"/>
                <w:sz w:val="24"/>
                <w:szCs w:val="24"/>
              </w:rPr>
              <w:t>胡梅荣</w:t>
            </w:r>
          </w:p>
          <w:p>
            <w:pPr>
              <w:jc w:val="center"/>
              <w:rPr>
                <w:rFonts w:ascii="仿宋" w:hAnsi="仿宋" w:eastAsia="仿宋"/>
                <w:sz w:val="24"/>
                <w:szCs w:val="24"/>
              </w:rPr>
            </w:pPr>
          </w:p>
        </w:tc>
      </w:tr>
    </w:tbl>
    <w:p>
      <w:pPr>
        <w:rPr>
          <w:rFonts w:ascii="仿宋" w:hAnsi="仿宋" w:eastAsia="仿宋"/>
          <w:sz w:val="32"/>
          <w:szCs w:val="32"/>
        </w:rPr>
      </w:pPr>
      <w:r>
        <w:rPr>
          <w:rFonts w:hint="eastAsia" w:ascii="仿宋" w:hAnsi="仿宋" w:eastAsia="仿宋"/>
          <w:color w:val="C55A11" w:themeColor="accent2" w:themeShade="BF"/>
          <w:sz w:val="32"/>
          <w:szCs w:val="32"/>
        </w:rPr>
        <w:t>【案例6】职业生涯从这里起航 开阔的人生就在你脚下</w:t>
      </w:r>
    </w:p>
    <w:p>
      <w:pPr>
        <w:ind w:firstLine="640" w:firstLineChars="200"/>
        <w:rPr>
          <w:rFonts w:ascii="仿宋" w:hAnsi="仿宋" w:eastAsia="仿宋"/>
          <w:sz w:val="32"/>
          <w:szCs w:val="32"/>
        </w:rPr>
      </w:pPr>
      <w:r>
        <w:rPr>
          <w:rFonts w:hint="eastAsia" w:ascii="仿宋" w:hAnsi="仿宋" w:eastAsia="仿宋"/>
          <w:sz w:val="32"/>
          <w:szCs w:val="32"/>
        </w:rPr>
        <w:t>经过三年的培养，通辽职业学院的莘莘学子走出校门奔赴自己的工作岗位，机电工程系工程监理专业毕业生李万哲同学就是这些毕业生中的典型代表。李万哲同学2012年从通辽职业学院毕业后，就职于中国建筑集团第八工程局，经过几年的打拼努力，一路走到了项目负责人的岗位，成为一名名副其实的专业负责人。为了回报母校、激励师弟师妹们努力学习、锻炼技能，2018年9月，李万哲同学回母校作了一场名为《做好职业规划 开阔的人生就在你脚下》的报告。报告现场气氛热烈，同学们均被学长的成长经历所鼓舞，纷纷表示要向学长学习，在校期间好好学习，不负光阴，毕业后成为一名为社会做出贡献的人。</w:t>
      </w:r>
    </w:p>
    <w:p>
      <w:pPr>
        <w:rPr>
          <w:rFonts w:ascii="仿宋" w:hAnsi="仿宋" w:eastAsia="仿宋"/>
          <w:sz w:val="32"/>
          <w:szCs w:val="32"/>
        </w:rPr>
      </w:pPr>
      <w:r>
        <w:rPr>
          <w:rFonts w:hint="eastAsia" w:ascii="仿宋_GB2312" w:hAnsi="仿宋_GB2312" w:eastAsia="仿宋_GB2312" w:cs="仿宋_GB2312"/>
          <w:sz w:val="32"/>
          <w:szCs w:val="32"/>
        </w:rPr>
        <w:drawing>
          <wp:inline distT="0" distB="0" distL="114300" distR="114300">
            <wp:extent cx="5048250" cy="3415030"/>
            <wp:effectExtent l="0" t="0" r="0" b="0"/>
            <wp:docPr id="11" name="图片 11" descr="37b90a2431c567dd8be74e8477f29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37b90a2431c567dd8be74e8477f29d7"/>
                    <pic:cNvPicPr>
                      <a:picLocks noChangeAspect="1"/>
                    </pic:cNvPicPr>
                  </pic:nvPicPr>
                  <pic:blipFill>
                    <a:blip r:embed="rId32"/>
                    <a:stretch>
                      <a:fillRect/>
                    </a:stretch>
                  </pic:blipFill>
                  <pic:spPr>
                    <a:xfrm>
                      <a:off x="0" y="0"/>
                      <a:ext cx="5064002" cy="3426164"/>
                    </a:xfrm>
                    <a:prstGeom prst="rect">
                      <a:avLst/>
                    </a:prstGeom>
                  </pic:spPr>
                </pic:pic>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12</w:t>
      </w:r>
      <w:r>
        <w:rPr>
          <w:rFonts w:hint="eastAsia" w:ascii="仿宋" w:hAnsi="仿宋" w:eastAsia="仿宋"/>
          <w:b/>
          <w:color w:val="C55A11" w:themeColor="accent2" w:themeShade="BF"/>
          <w:sz w:val="24"/>
          <w:szCs w:val="24"/>
        </w:rPr>
        <w:t>：</w:t>
      </w:r>
      <w:r>
        <w:rPr>
          <w:rFonts w:ascii="仿宋" w:hAnsi="仿宋" w:eastAsia="仿宋"/>
          <w:b/>
          <w:sz w:val="24"/>
          <w:szCs w:val="24"/>
        </w:rPr>
        <w:t>李万哲回母校</w:t>
      </w:r>
      <w:r>
        <w:rPr>
          <w:rFonts w:hint="eastAsia" w:ascii="仿宋" w:hAnsi="仿宋" w:eastAsia="仿宋"/>
          <w:b/>
          <w:sz w:val="24"/>
          <w:szCs w:val="24"/>
        </w:rPr>
        <w:t>作报告</w:t>
      </w:r>
    </w:p>
    <w:p>
      <w:pPr>
        <w:pStyle w:val="3"/>
      </w:pPr>
      <w:bookmarkStart w:id="16" w:name="_Toc15883"/>
      <w:bookmarkStart w:id="17" w:name="_Toc28254441"/>
      <w:r>
        <w:rPr>
          <w:rFonts w:hint="eastAsia"/>
        </w:rPr>
        <w:t>1.6</w:t>
      </w:r>
      <w:r>
        <w:t xml:space="preserve"> </w:t>
      </w:r>
      <w:r>
        <w:rPr>
          <w:rFonts w:hint="eastAsia"/>
        </w:rPr>
        <w:t>创新创业</w:t>
      </w:r>
      <w:bookmarkEnd w:id="16"/>
      <w:bookmarkEnd w:id="17"/>
    </w:p>
    <w:p>
      <w:pPr>
        <w:ind w:firstLine="640" w:firstLineChars="200"/>
        <w:rPr>
          <w:rFonts w:asciiTheme="minorEastAsia" w:hAnsiTheme="minorEastAsia"/>
          <w:sz w:val="32"/>
          <w:szCs w:val="32"/>
        </w:rPr>
      </w:pPr>
      <w:r>
        <w:rPr>
          <w:rFonts w:hint="eastAsia" w:asciiTheme="minorEastAsia" w:hAnsiTheme="minorEastAsia"/>
          <w:sz w:val="32"/>
          <w:szCs w:val="32"/>
        </w:rPr>
        <w:t>学院积极贯彻落实国家2019年《职业院校全面开展职业培训，促进就业创业行动计划》的通知精神，强化创新创业教育，以提高人才培养质量为核心，以服务地方经济建设为宗旨，以创新人才培养机制为重点，以完善条件和政策保障为支撑，坚持创新引领创业、创业带动就业，取得良好成效。各二级教学单位专人负责大学生创新创业工作，形成了统一领导、协同推进、全员参与、高效运行的创新创业工作局面。在《通辽职业学院创新发展行动计划总体实施方案》中将专业教育与创新创业教育融合的理念融入人才培养方案中，把创新创业教育纳入学分管理，形成创新创业教育“必修课+选修课+实践实训”课程体系，推进专创融合新模式。逐步完善《通辽职业学院创新创业奖励办法》、《关于学生休学创业的管理办法》等相关制度，建立并实施学生学分转换、弹性学制，支持大学生在校创新创业。为学生搭建200平米的创客空间，为在校生创新创业提供场地和设备等支持。以赛驱动，激发创新创业活力，在学院组织开展的“互联网+”大学生创新创业大赛中脱颖而出的优秀选手，参加各级各类创新创业大赛。2018年10月，我院学生张志华等4名学生的创新创业作品《蒙东情“智慧家政”生活服务平台》获得第四届中国“互联网+”大学生创新创业大赛铜奖，并获内蒙古自治区金奖和最佳带动就业奖。2019年我院学生鲁振莹等3名学生的创新创业作品《须怀若谷·神奇的玉米须》获得“建行杯”第五届内蒙古自治区“互联网+”大赛银奖。</w:t>
      </w:r>
    </w:p>
    <w:p>
      <w:pPr>
        <w:rPr>
          <w:rFonts w:asciiTheme="minorEastAsia" w:hAnsiTheme="minorEastAsia"/>
          <w:sz w:val="32"/>
          <w:szCs w:val="32"/>
        </w:rPr>
      </w:pPr>
      <w:r>
        <w:rPr>
          <w:rFonts w:hint="eastAsia" w:ascii="Times New Roman" w:hAnsi="Times New Roman" w:eastAsia="仿宋" w:cs="Times New Roman"/>
          <w:sz w:val="32"/>
          <w:szCs w:val="32"/>
        </w:rPr>
        <w:drawing>
          <wp:inline distT="0" distB="0" distL="0" distR="0">
            <wp:extent cx="5274310" cy="3595370"/>
            <wp:effectExtent l="0" t="0" r="2540" b="5080"/>
            <wp:docPr id="12" name="图片 12" descr="IMG_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875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3595849"/>
                    </a:xfrm>
                    <a:prstGeom prst="rect">
                      <a:avLst/>
                    </a:prstGeom>
                    <a:noFill/>
                    <a:ln>
                      <a:noFill/>
                    </a:ln>
                    <a:effectLst/>
                  </pic:spPr>
                </pic:pic>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13</w:t>
      </w:r>
      <w:r>
        <w:rPr>
          <w:rFonts w:hint="eastAsia" w:ascii="仿宋" w:hAnsi="仿宋" w:eastAsia="仿宋"/>
          <w:b/>
          <w:color w:val="C55A11" w:themeColor="accent2" w:themeShade="BF"/>
          <w:sz w:val="24"/>
          <w:szCs w:val="24"/>
        </w:rPr>
        <w:t>：</w:t>
      </w:r>
      <w:r>
        <w:rPr>
          <w:rFonts w:hint="eastAsia" w:ascii="仿宋" w:hAnsi="仿宋" w:eastAsia="仿宋"/>
          <w:b/>
          <w:sz w:val="24"/>
          <w:szCs w:val="24"/>
        </w:rPr>
        <w:t>第四届中国“互联网＋”大学生创新创业大赛铜奖</w:t>
      </w:r>
    </w:p>
    <w:p>
      <w:pPr>
        <w:pStyle w:val="3"/>
      </w:pPr>
      <w:bookmarkStart w:id="18" w:name="_Toc21704"/>
      <w:bookmarkStart w:id="19" w:name="_Toc28254442"/>
      <w:r>
        <w:rPr>
          <w:rFonts w:hint="eastAsia"/>
        </w:rPr>
        <w:t>1.7</w:t>
      </w:r>
      <w:r>
        <w:t xml:space="preserve"> </w:t>
      </w:r>
      <w:r>
        <w:rPr>
          <w:rFonts w:hint="eastAsia"/>
        </w:rPr>
        <w:t>校园文化</w:t>
      </w:r>
      <w:bookmarkEnd w:id="18"/>
      <w:bookmarkEnd w:id="19"/>
    </w:p>
    <w:p>
      <w:pPr>
        <w:ind w:firstLine="640" w:firstLineChars="200"/>
        <w:rPr>
          <w:rFonts w:asciiTheme="minorEastAsia" w:hAnsiTheme="minorEastAsia"/>
          <w:sz w:val="32"/>
          <w:szCs w:val="32"/>
        </w:rPr>
      </w:pPr>
      <w:r>
        <w:rPr>
          <w:rFonts w:hint="eastAsia" w:asciiTheme="minorEastAsia" w:hAnsiTheme="minorEastAsia"/>
          <w:sz w:val="32"/>
          <w:szCs w:val="32"/>
        </w:rPr>
        <w:t>通辽职业学院坚持以社会主义核心价值观引领文化建设，扎根民族地区办有地方特色的职业教育，推动为党育人、为国育才与技能报国、服务地方的有机统一，推动传统文化、科尔沁民族文化与人才培养的有机统一，推动品德养成与技能提升的有机统一，推动人文精神与工匠精神的有机统一，彰显通辽职业学院办学的鲜明特征，凝炼形成“德技兼修、知行合一”的核心理念，并有机融入办学治校的各个领域，贯穿教学、管理、服务的各个环节。经过不断的融汇、提炼、拓展、延伸，这一核心理念从实践到认识再到实践，与“崇德尚能、树人成才”的校训，“务实 创新”的校风、“严谨 敬业”的教风和“励志 勤学”的学风相互映照、相辅相成、前后呼应、形成一体，构建起学院文化体系的“四梁八柱”。这些在长期办学实践中形成的核心文化理念，体现了学院“立德树人、服务发展、促进就业”的办学宗旨，继承和发展了叶圣陶、吴祖缃等著名教育家当年到访我院（原哲盟师范学校）时留下的“十年致绩，斐然可观，愿祝精进，人尽红专”的殷殷祝愿，与学院的宗旨使命、目标愿景和核心价值同心共向、一脉相承，成为推动学院健康持续发展的精神命脉和全院师生共同的价值追求。</w:t>
      </w:r>
    </w:p>
    <w:p>
      <w:pPr>
        <w:rPr>
          <w:rFonts w:ascii="仿宋" w:hAnsi="仿宋" w:eastAsia="仿宋"/>
          <w:sz w:val="32"/>
          <w:szCs w:val="32"/>
        </w:rPr>
      </w:pPr>
      <w:r>
        <w:rPr>
          <w:rFonts w:hint="eastAsia" w:ascii="仿宋" w:hAnsi="仿宋" w:eastAsia="仿宋"/>
          <w:color w:val="C55A11" w:themeColor="accent2" w:themeShade="BF"/>
          <w:sz w:val="32"/>
          <w:szCs w:val="32"/>
        </w:rPr>
        <w:t>【案例7】环境建设有品位 “内蒙古自治区园林式单位”名不虚传</w:t>
      </w:r>
    </w:p>
    <w:p>
      <w:pPr>
        <w:ind w:firstLine="640" w:firstLineChars="200"/>
        <w:rPr>
          <w:rFonts w:ascii="仿宋" w:hAnsi="仿宋" w:eastAsia="仿宋"/>
          <w:sz w:val="32"/>
          <w:szCs w:val="32"/>
        </w:rPr>
      </w:pPr>
      <w:r>
        <w:rPr>
          <w:rFonts w:hint="eastAsia" w:ascii="仿宋" w:hAnsi="仿宋" w:eastAsia="仿宋"/>
          <w:sz w:val="32"/>
          <w:szCs w:val="32"/>
        </w:rPr>
        <w:t>将学院的文化特色自然融入校园环境，着力打造视觉美感、主题鲜明、格调高雅、富有品位的美丽生态校园。以“一校两区”布局为基础，楼宇、广场、道路、湖泊、草坪、树木、文化石等共同构建了校园的物质文化建设格局。学院的主体建筑结构呈“品”字形，体现了以优良办学品质陶融师生品行的理念。以序春湖、毓秀湖、润泽园、沁园、“智慧之眼”休闲公园为代表的“两湖三园”，知行路、明德路等校园道路，从布局建设到命名寓意，都突出文化育人的内涵。文化石镌刻的“合抱之木，生于毫末；九层之台，起于累土；千里之行，始于足下”出自《道德经》，彰显学院对品德和知识的追求。学院2019年评为“内蒙古自治区园林式单位”。</w:t>
      </w:r>
    </w:p>
    <w:p>
      <w:pPr>
        <w:rPr>
          <w:rFonts w:ascii="仿宋" w:hAnsi="仿宋" w:eastAsia="仿宋"/>
          <w:sz w:val="32"/>
          <w:szCs w:val="32"/>
        </w:rPr>
      </w:pPr>
      <w:r>
        <w:rPr>
          <w:rFonts w:hint="eastAsia" w:eastAsia="仿宋_GB2312"/>
          <w:sz w:val="32"/>
          <w:szCs w:val="32"/>
        </w:rPr>
        <w:drawing>
          <wp:inline distT="0" distB="0" distL="0" distR="0">
            <wp:extent cx="5266690" cy="1941195"/>
            <wp:effectExtent l="0" t="0" r="0" b="1905"/>
            <wp:docPr id="13" name="图片 13" descr="微信图片_2019122414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191224144133"/>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66690" cy="1941195"/>
                    </a:xfrm>
                    <a:prstGeom prst="rect">
                      <a:avLst/>
                    </a:prstGeom>
                  </pic:spPr>
                </pic:pic>
              </a:graphicData>
            </a:graphic>
          </wp:inline>
        </w:drawing>
      </w:r>
    </w:p>
    <w:p>
      <w:pPr>
        <w:jc w:val="center"/>
        <w:rPr>
          <w:rFonts w:ascii="仿宋" w:hAnsi="仿宋" w:eastAsia="仿宋"/>
          <w:sz w:val="32"/>
          <w:szCs w:val="32"/>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14</w:t>
      </w:r>
      <w:r>
        <w:rPr>
          <w:rFonts w:hint="eastAsia" w:ascii="仿宋" w:hAnsi="仿宋" w:eastAsia="仿宋"/>
          <w:b/>
          <w:color w:val="C55A11" w:themeColor="accent2" w:themeShade="BF"/>
          <w:sz w:val="24"/>
          <w:szCs w:val="24"/>
        </w:rPr>
        <w:t>：</w:t>
      </w:r>
      <w:r>
        <w:rPr>
          <w:rFonts w:hint="eastAsia" w:ascii="仿宋" w:hAnsi="仿宋" w:eastAsia="仿宋"/>
          <w:b/>
          <w:sz w:val="24"/>
          <w:szCs w:val="24"/>
        </w:rPr>
        <w:t>校园环境</w:t>
      </w:r>
    </w:p>
    <w:p>
      <w:pPr>
        <w:pStyle w:val="3"/>
      </w:pPr>
      <w:bookmarkStart w:id="20" w:name="_Toc20407"/>
      <w:bookmarkStart w:id="21" w:name="_Toc28254443"/>
      <w:r>
        <w:rPr>
          <w:rFonts w:hint="eastAsia"/>
        </w:rPr>
        <w:t>1.8</w:t>
      </w:r>
      <w:r>
        <w:t xml:space="preserve"> </w:t>
      </w:r>
      <w:r>
        <w:rPr>
          <w:rFonts w:hint="eastAsia"/>
        </w:rPr>
        <w:t>工匠精神</w:t>
      </w:r>
      <w:bookmarkEnd w:id="20"/>
      <w:bookmarkEnd w:id="21"/>
    </w:p>
    <w:p>
      <w:pPr>
        <w:ind w:firstLine="640" w:firstLineChars="200"/>
        <w:rPr>
          <w:rFonts w:asciiTheme="minorEastAsia" w:hAnsiTheme="minorEastAsia"/>
          <w:sz w:val="32"/>
          <w:szCs w:val="32"/>
        </w:rPr>
      </w:pPr>
      <w:r>
        <w:rPr>
          <w:rFonts w:hint="eastAsia" w:asciiTheme="minorEastAsia" w:hAnsiTheme="minorEastAsia"/>
          <w:sz w:val="32"/>
          <w:szCs w:val="32"/>
        </w:rPr>
        <w:t>学院各专业在教育教学中，注重培养学生专注笃行、精益求精的工匠精神。首先将工匠精神内化于课堂教学和各项活动中。教学注重体现岗位要求，课堂思政体现工匠精神的要义。其次聘请各行业大师来校授课和指导实践，让学生近距离接触大师，耳濡目染学习大师们的精神品质，锻炼提升自己。</w:t>
      </w:r>
    </w:p>
    <w:p>
      <w:pPr>
        <w:rPr>
          <w:rFonts w:ascii="仿宋" w:hAnsi="仿宋" w:eastAsia="仿宋"/>
          <w:sz w:val="32"/>
          <w:szCs w:val="32"/>
        </w:rPr>
      </w:pPr>
      <w:r>
        <w:rPr>
          <w:rFonts w:hint="eastAsia" w:ascii="仿宋" w:hAnsi="仿宋" w:eastAsia="仿宋"/>
          <w:color w:val="C55A11" w:themeColor="accent2" w:themeShade="BF"/>
          <w:sz w:val="32"/>
          <w:szCs w:val="32"/>
        </w:rPr>
        <w:t>【案例8】锻炼技能的阵地 培养工匠的舞台</w:t>
      </w:r>
    </w:p>
    <w:p>
      <w:pPr>
        <w:ind w:firstLine="640" w:firstLineChars="200"/>
        <w:rPr>
          <w:rFonts w:ascii="仿宋" w:hAnsi="仿宋" w:eastAsia="仿宋"/>
          <w:sz w:val="32"/>
          <w:szCs w:val="32"/>
        </w:rPr>
      </w:pPr>
      <w:r>
        <w:rPr>
          <w:rFonts w:hint="eastAsia" w:ascii="仿宋" w:hAnsi="仿宋" w:eastAsia="仿宋"/>
          <w:sz w:val="32"/>
          <w:szCs w:val="32"/>
        </w:rPr>
        <w:t>2018年10月，在学院纪念改革开放40周年文艺汇演中，机电工程系教师和学生创作的“为工匠精神而歌”大型诗歌朗诵节目，恢弘大气，感染了现场每一位学生。“今天，我们活跃在职业教育的课堂；明天，我们将在中国制造的大舞台上，成为新一代的大国工匠”，颂扬了坚守岗位、甘于奉献、精益求精的工匠精神，调动了学生认真钻研职业技能、勤学苦练本领的学习热情，对学生进行了一次极好的职业教育。</w:t>
      </w:r>
    </w:p>
    <w:p>
      <w:pPr>
        <w:rPr>
          <w:rFonts w:asciiTheme="minorEastAsia" w:hAnsiTheme="minorEastAsia"/>
          <w:sz w:val="32"/>
          <w:szCs w:val="32"/>
        </w:rPr>
      </w:pPr>
      <w:r>
        <w:rPr>
          <w:rFonts w:eastAsia="仿宋_GB2312"/>
          <w:sz w:val="32"/>
          <w:szCs w:val="32"/>
        </w:rPr>
        <w:drawing>
          <wp:inline distT="0" distB="0" distL="114300" distR="114300">
            <wp:extent cx="5261610" cy="3507740"/>
            <wp:effectExtent l="0" t="0" r="15240" b="16510"/>
            <wp:docPr id="14" name="图片 14" descr="90981f8c2e52f2d1570a918168891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90981f8c2e52f2d1570a918168891b6"/>
                    <pic:cNvPicPr>
                      <a:picLocks noChangeAspect="1"/>
                    </pic:cNvPicPr>
                  </pic:nvPicPr>
                  <pic:blipFill>
                    <a:blip r:embed="rId35"/>
                    <a:stretch>
                      <a:fillRect/>
                    </a:stretch>
                  </pic:blipFill>
                  <pic:spPr>
                    <a:xfrm>
                      <a:off x="0" y="0"/>
                      <a:ext cx="5261610" cy="3507740"/>
                    </a:xfrm>
                    <a:prstGeom prst="rect">
                      <a:avLst/>
                    </a:prstGeom>
                  </pic:spPr>
                </pic:pic>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1-</w:t>
      </w:r>
      <w:r>
        <w:rPr>
          <w:rFonts w:ascii="仿宋" w:hAnsi="仿宋" w:eastAsia="仿宋"/>
          <w:b/>
          <w:color w:val="C55A11" w:themeColor="accent2" w:themeShade="BF"/>
          <w:sz w:val="24"/>
          <w:szCs w:val="24"/>
        </w:rPr>
        <w:t>15</w:t>
      </w:r>
      <w:r>
        <w:rPr>
          <w:rFonts w:hint="eastAsia" w:ascii="仿宋" w:hAnsi="仿宋" w:eastAsia="仿宋"/>
          <w:b/>
          <w:color w:val="C55A11" w:themeColor="accent2" w:themeShade="BF"/>
          <w:sz w:val="24"/>
          <w:szCs w:val="24"/>
        </w:rPr>
        <w:t>：</w:t>
      </w:r>
      <w:r>
        <w:rPr>
          <w:rFonts w:hint="eastAsia" w:ascii="仿宋" w:hAnsi="仿宋" w:eastAsia="仿宋"/>
          <w:b/>
          <w:sz w:val="24"/>
          <w:szCs w:val="24"/>
        </w:rPr>
        <w:t>“为工匠精神而歌”大型诗歌朗诵节目</w:t>
      </w: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pStyle w:val="2"/>
      </w:pPr>
      <w:bookmarkStart w:id="22" w:name="_Toc7338"/>
      <w:bookmarkStart w:id="23" w:name="_Toc28254444"/>
      <w:bookmarkStart w:id="24" w:name="_Toc30685"/>
      <w:r>
        <w:rPr>
          <w:rFonts w:hint="eastAsia"/>
        </w:rPr>
        <w:t>2</w:t>
      </w:r>
      <w:r>
        <w:t xml:space="preserve"> 教学改革</w:t>
      </w:r>
      <w:bookmarkEnd w:id="22"/>
      <w:bookmarkEnd w:id="23"/>
      <w:bookmarkEnd w:id="24"/>
    </w:p>
    <w:p>
      <w:pPr>
        <w:pStyle w:val="3"/>
      </w:pPr>
      <w:bookmarkStart w:id="25" w:name="_Toc28254445"/>
      <w:bookmarkStart w:id="26" w:name="_Toc19199"/>
      <w:r>
        <w:rPr>
          <w:rFonts w:hint="eastAsia"/>
        </w:rPr>
        <w:t>2</w:t>
      </w:r>
      <w:r>
        <w:t>.1 专业建设和课程建设</w:t>
      </w:r>
      <w:bookmarkEnd w:id="25"/>
      <w:bookmarkEnd w:id="26"/>
    </w:p>
    <w:p>
      <w:pPr>
        <w:widowControl/>
        <w:spacing w:line="600" w:lineRule="exact"/>
        <w:ind w:firstLine="640" w:firstLineChars="200"/>
        <w:rPr>
          <w:rFonts w:ascii="Times New Roman" w:hAnsi="Times New Roman" w:cs="Times New Roman"/>
          <w:sz w:val="32"/>
          <w:szCs w:val="32"/>
        </w:rPr>
      </w:pPr>
      <w:r>
        <w:rPr>
          <w:rFonts w:ascii="Times New Roman" w:cs="Times New Roman" w:hAnsiTheme="minorEastAsia"/>
          <w:sz w:val="32"/>
          <w:szCs w:val="32"/>
        </w:rPr>
        <w:t>学院始终坚持以服务为宗旨、以就业为导向的高等职业教育办学思路，紧抓国家、自治区和通辽市加快职业教育的机遇，主动融入</w:t>
      </w:r>
      <w:r>
        <w:rPr>
          <w:rFonts w:ascii="Times New Roman" w:hAnsi="Times New Roman" w:cs="Times New Roman"/>
          <w:sz w:val="32"/>
          <w:szCs w:val="32"/>
        </w:rPr>
        <w:t>“</w:t>
      </w:r>
      <w:r>
        <w:rPr>
          <w:rFonts w:ascii="Times New Roman" w:cs="Times New Roman" w:hAnsiTheme="minorEastAsia"/>
          <w:sz w:val="32"/>
          <w:szCs w:val="32"/>
        </w:rPr>
        <w:t>一带一路</w:t>
      </w:r>
      <w:r>
        <w:rPr>
          <w:rFonts w:ascii="Times New Roman" w:hAnsi="Times New Roman" w:cs="Times New Roman"/>
          <w:sz w:val="32"/>
          <w:szCs w:val="32"/>
        </w:rPr>
        <w:t>”</w:t>
      </w:r>
      <w:r>
        <w:rPr>
          <w:rFonts w:ascii="Times New Roman" w:cs="Times New Roman" w:hAnsiTheme="minorEastAsia"/>
          <w:sz w:val="32"/>
          <w:szCs w:val="32"/>
        </w:rPr>
        <w:t>战略、新一轮东北振兴、亮丽内蒙古建设和通辽市打造</w:t>
      </w:r>
      <w:r>
        <w:rPr>
          <w:rFonts w:ascii="Times New Roman" w:hAnsi="Times New Roman" w:cs="Times New Roman"/>
          <w:sz w:val="32"/>
          <w:szCs w:val="32"/>
        </w:rPr>
        <w:t>“</w:t>
      </w:r>
      <w:r>
        <w:rPr>
          <w:rFonts w:ascii="Times New Roman" w:cs="Times New Roman" w:hAnsiTheme="minorEastAsia"/>
          <w:sz w:val="32"/>
          <w:szCs w:val="32"/>
        </w:rPr>
        <w:t>九链五都一城一市</w:t>
      </w:r>
      <w:r>
        <w:rPr>
          <w:rFonts w:ascii="Times New Roman" w:hAnsi="Times New Roman" w:cs="Times New Roman"/>
          <w:sz w:val="32"/>
          <w:szCs w:val="32"/>
        </w:rPr>
        <w:t>”</w:t>
      </w:r>
      <w:r>
        <w:rPr>
          <w:rFonts w:ascii="Times New Roman" w:cs="Times New Roman" w:hAnsiTheme="minorEastAsia"/>
          <w:sz w:val="32"/>
          <w:szCs w:val="32"/>
        </w:rPr>
        <w:t>的战略布局，形成以医药卫生类专业与师范教育类专业为主体，</w:t>
      </w:r>
      <w:r>
        <w:rPr>
          <w:rFonts w:hint="eastAsia" w:ascii="Times New Roman" w:cs="Times New Roman" w:hAnsiTheme="minorEastAsia"/>
          <w:sz w:val="32"/>
          <w:szCs w:val="32"/>
        </w:rPr>
        <w:t>土木</w:t>
      </w:r>
      <w:r>
        <w:rPr>
          <w:rFonts w:ascii="Times New Roman" w:cs="Times New Roman" w:hAnsiTheme="minorEastAsia"/>
          <w:sz w:val="32"/>
          <w:szCs w:val="32"/>
        </w:rPr>
        <w:t>建筑</w:t>
      </w:r>
      <w:r>
        <w:rPr>
          <w:rFonts w:hint="eastAsia" w:ascii="Times New Roman" w:cs="Times New Roman" w:hAnsiTheme="minorEastAsia"/>
          <w:sz w:val="32"/>
          <w:szCs w:val="32"/>
        </w:rPr>
        <w:t>、</w:t>
      </w:r>
      <w:r>
        <w:rPr>
          <w:rFonts w:ascii="Times New Roman" w:cs="Times New Roman" w:hAnsiTheme="minorEastAsia"/>
          <w:sz w:val="32"/>
          <w:szCs w:val="32"/>
        </w:rPr>
        <w:t>装备制造</w:t>
      </w:r>
      <w:r>
        <w:rPr>
          <w:rFonts w:hint="eastAsia" w:ascii="Times New Roman" w:cs="Times New Roman" w:hAnsiTheme="minorEastAsia"/>
          <w:sz w:val="32"/>
          <w:szCs w:val="32"/>
        </w:rPr>
        <w:t>、</w:t>
      </w:r>
      <w:r>
        <w:rPr>
          <w:rFonts w:ascii="Times New Roman" w:cs="Times New Roman" w:hAnsiTheme="minorEastAsia"/>
          <w:sz w:val="32"/>
          <w:szCs w:val="32"/>
        </w:rPr>
        <w:t>财经商贸</w:t>
      </w:r>
      <w:r>
        <w:rPr>
          <w:rFonts w:hint="eastAsia" w:ascii="Times New Roman" w:cs="Times New Roman" w:hAnsiTheme="minorEastAsia"/>
          <w:sz w:val="32"/>
          <w:szCs w:val="32"/>
        </w:rPr>
        <w:t>、</w:t>
      </w:r>
      <w:r>
        <w:rPr>
          <w:rFonts w:ascii="Times New Roman" w:cs="Times New Roman" w:hAnsiTheme="minorEastAsia"/>
          <w:sz w:val="32"/>
          <w:szCs w:val="32"/>
        </w:rPr>
        <w:t>电子信息</w:t>
      </w:r>
      <w:r>
        <w:rPr>
          <w:rFonts w:hint="eastAsia" w:ascii="Times New Roman" w:cs="Times New Roman" w:hAnsiTheme="minorEastAsia"/>
          <w:sz w:val="32"/>
          <w:szCs w:val="32"/>
        </w:rPr>
        <w:t>、</w:t>
      </w:r>
      <w:r>
        <w:rPr>
          <w:rFonts w:ascii="Times New Roman" w:cs="Times New Roman" w:hAnsiTheme="minorEastAsia"/>
          <w:sz w:val="32"/>
          <w:szCs w:val="32"/>
        </w:rPr>
        <w:t>食品药品与粮食等专业协调发展的专业格局。目前建成中央财政支持专业</w:t>
      </w:r>
      <w:r>
        <w:rPr>
          <w:rFonts w:ascii="Times New Roman" w:hAnsi="Times New Roman" w:cs="Times New Roman"/>
          <w:sz w:val="32"/>
          <w:szCs w:val="32"/>
        </w:rPr>
        <w:t>1</w:t>
      </w:r>
      <w:r>
        <w:rPr>
          <w:rFonts w:ascii="Times New Roman" w:cs="Times New Roman" w:hAnsiTheme="minorEastAsia"/>
          <w:sz w:val="32"/>
          <w:szCs w:val="32"/>
        </w:rPr>
        <w:t>个、</w:t>
      </w:r>
      <w:r>
        <w:rPr>
          <w:rFonts w:cs="Times New Roman" w:asciiTheme="majorEastAsia" w:hAnsiTheme="majorEastAsia" w:eastAsiaTheme="majorEastAsia"/>
          <w:sz w:val="32"/>
          <w:szCs w:val="32"/>
        </w:rPr>
        <w:t>“国家创新发展行动计划”</w:t>
      </w:r>
      <w:r>
        <w:rPr>
          <w:rFonts w:ascii="Times New Roman" w:cs="Times New Roman" w:hAnsiTheme="minorEastAsia"/>
          <w:sz w:val="32"/>
          <w:szCs w:val="32"/>
        </w:rPr>
        <w:t>骨干专业</w:t>
      </w:r>
      <w:r>
        <w:rPr>
          <w:rFonts w:ascii="Times New Roman" w:hAnsi="Times New Roman" w:cs="Times New Roman"/>
          <w:sz w:val="32"/>
          <w:szCs w:val="32"/>
        </w:rPr>
        <w:t>2</w:t>
      </w:r>
      <w:r>
        <w:rPr>
          <w:rFonts w:ascii="Times New Roman" w:cs="Times New Roman" w:hAnsiTheme="minorEastAsia"/>
          <w:sz w:val="32"/>
          <w:szCs w:val="32"/>
        </w:rPr>
        <w:t>个</w:t>
      </w:r>
      <w:r>
        <w:rPr>
          <w:rFonts w:hint="eastAsia" w:ascii="Times New Roman" w:cs="Times New Roman" w:hAnsiTheme="minorEastAsia"/>
          <w:sz w:val="32"/>
          <w:szCs w:val="32"/>
        </w:rPr>
        <w:t>、</w:t>
      </w:r>
      <w:r>
        <w:rPr>
          <w:rFonts w:ascii="Times New Roman" w:cs="Times New Roman" w:hAnsiTheme="minorEastAsia"/>
          <w:sz w:val="32"/>
          <w:szCs w:val="32"/>
        </w:rPr>
        <w:t>自治区级品牌专业</w:t>
      </w:r>
      <w:r>
        <w:rPr>
          <w:rFonts w:ascii="Times New Roman" w:hAnsi="Times New Roman" w:cs="Times New Roman"/>
          <w:sz w:val="32"/>
          <w:szCs w:val="32"/>
        </w:rPr>
        <w:t>5</w:t>
      </w:r>
      <w:r>
        <w:rPr>
          <w:rFonts w:ascii="Times New Roman" w:cs="Times New Roman" w:hAnsiTheme="minorEastAsia"/>
          <w:sz w:val="32"/>
          <w:szCs w:val="32"/>
        </w:rPr>
        <w:t>个、自治区级重点专业</w:t>
      </w:r>
      <w:r>
        <w:rPr>
          <w:rFonts w:ascii="Times New Roman" w:hAnsi="Times New Roman" w:cs="Times New Roman"/>
          <w:sz w:val="32"/>
          <w:szCs w:val="32"/>
        </w:rPr>
        <w:t>2</w:t>
      </w:r>
      <w:r>
        <w:rPr>
          <w:rFonts w:ascii="Times New Roman" w:cs="Times New Roman" w:hAnsiTheme="minorEastAsia"/>
          <w:sz w:val="32"/>
          <w:szCs w:val="32"/>
        </w:rPr>
        <w:t>个。</w:t>
      </w:r>
    </w:p>
    <w:p>
      <w:pPr>
        <w:widowControl/>
        <w:spacing w:line="600" w:lineRule="exact"/>
        <w:ind w:firstLine="640" w:firstLineChars="200"/>
        <w:rPr>
          <w:rFonts w:ascii="Times New Roman" w:cs="Times New Roman" w:hAnsiTheme="minorEastAsia"/>
          <w:sz w:val="32"/>
          <w:szCs w:val="32"/>
        </w:rPr>
      </w:pPr>
      <w:r>
        <w:rPr>
          <w:rFonts w:ascii="Times New Roman" w:cs="Times New Roman" w:hAnsiTheme="minorEastAsia"/>
          <w:sz w:val="32"/>
          <w:szCs w:val="32"/>
        </w:rPr>
        <w:t>学院建立了</w:t>
      </w:r>
      <w:r>
        <w:rPr>
          <w:rFonts w:hint="eastAsia" w:ascii="Times New Roman" w:cs="Times New Roman" w:hAnsiTheme="minorEastAsia"/>
          <w:sz w:val="32"/>
          <w:szCs w:val="32"/>
        </w:rPr>
        <w:t>“面向市场、优胜劣汰”</w:t>
      </w:r>
      <w:r>
        <w:rPr>
          <w:rFonts w:ascii="Times New Roman" w:cs="Times New Roman" w:hAnsiTheme="minorEastAsia"/>
          <w:sz w:val="32"/>
          <w:szCs w:val="32"/>
        </w:rPr>
        <w:t>专业动态调整机制，</w:t>
      </w:r>
      <w:r>
        <w:rPr>
          <w:rFonts w:hint="eastAsia" w:ascii="Times New Roman" w:cs="Times New Roman" w:hAnsiTheme="minorEastAsia"/>
          <w:sz w:val="32"/>
          <w:szCs w:val="32"/>
        </w:rPr>
        <w:t>明确新上、改造、调整、撤销专业，形成结构优化、布局合理、特色鲜明的专业体系。</w:t>
      </w:r>
      <w:r>
        <w:rPr>
          <w:rFonts w:ascii="Times New Roman" w:cs="Times New Roman" w:hAnsiTheme="minorEastAsia"/>
          <w:sz w:val="32"/>
          <w:szCs w:val="32"/>
        </w:rPr>
        <w:t>2018年学院在做强、做大、做精现有的品牌特色专业的同时，新开设新能源汽车、口腔医学技术、眼视光技术、审计等</w:t>
      </w:r>
      <w:r>
        <w:rPr>
          <w:rFonts w:ascii="Times New Roman" w:hAnsi="Times New Roman" w:cs="Times New Roman"/>
          <w:sz w:val="32"/>
          <w:szCs w:val="32"/>
        </w:rPr>
        <w:t>7</w:t>
      </w:r>
      <w:r>
        <w:rPr>
          <w:rFonts w:ascii="Times New Roman" w:cs="Times New Roman" w:hAnsiTheme="minorEastAsia"/>
          <w:sz w:val="32"/>
          <w:szCs w:val="32"/>
        </w:rPr>
        <w:t>个专业；恢复酒店管理（高铁、航空服务方向）、体育教育（足球教练或裁判员方向）</w:t>
      </w:r>
      <w:r>
        <w:rPr>
          <w:rFonts w:ascii="Times New Roman" w:hAnsi="Times New Roman" w:cs="Times New Roman"/>
          <w:sz w:val="32"/>
          <w:szCs w:val="32"/>
        </w:rPr>
        <w:t>2</w:t>
      </w:r>
      <w:r>
        <w:rPr>
          <w:rFonts w:ascii="Times New Roman" w:cs="Times New Roman" w:hAnsiTheme="minorEastAsia"/>
          <w:sz w:val="32"/>
          <w:szCs w:val="32"/>
        </w:rPr>
        <w:t>个专业；停招英语教育等</w:t>
      </w:r>
      <w:r>
        <w:rPr>
          <w:rFonts w:ascii="Times New Roman" w:hAnsi="Times New Roman" w:cs="Times New Roman"/>
          <w:sz w:val="32"/>
          <w:szCs w:val="32"/>
        </w:rPr>
        <w:t>6</w:t>
      </w:r>
      <w:r>
        <w:rPr>
          <w:rFonts w:ascii="Times New Roman" w:cs="Times New Roman" w:hAnsiTheme="minorEastAsia"/>
          <w:sz w:val="32"/>
          <w:szCs w:val="32"/>
        </w:rPr>
        <w:t>个专业，招生专业动态调整到</w:t>
      </w:r>
      <w:r>
        <w:rPr>
          <w:rFonts w:ascii="Times New Roman" w:hAnsi="Times New Roman" w:cs="Times New Roman"/>
          <w:sz w:val="32"/>
          <w:szCs w:val="32"/>
        </w:rPr>
        <w:t>26</w:t>
      </w:r>
      <w:r>
        <w:rPr>
          <w:rFonts w:ascii="Times New Roman" w:cs="Times New Roman" w:hAnsiTheme="minorEastAsia"/>
          <w:sz w:val="32"/>
          <w:szCs w:val="32"/>
        </w:rPr>
        <w:t>个。</w:t>
      </w:r>
    </w:p>
    <w:p>
      <w:pPr>
        <w:widowControl/>
        <w:spacing w:line="600" w:lineRule="exact"/>
        <w:ind w:firstLine="640" w:firstLineChars="200"/>
        <w:rPr>
          <w:rFonts w:ascii="Times New Roman" w:cs="Times New Roman" w:hAnsiTheme="minorEastAsia"/>
          <w:sz w:val="32"/>
          <w:szCs w:val="32"/>
        </w:rPr>
      </w:pPr>
      <w:r>
        <w:rPr>
          <w:rFonts w:hint="eastAsia" w:ascii="Times New Roman" w:cs="Times New Roman" w:hAnsiTheme="minorEastAsia"/>
          <w:sz w:val="32"/>
          <w:szCs w:val="32"/>
        </w:rPr>
        <w:t>根据《现代职业教育体系建设规划（2014-2020年）》要求和自治区教育厅的有关工作部署，积极搭建中、高职衔接、高职与职业本科贯通的职业教育“立交桥”。学院与内蒙古民族大学、哈尔滨医科大学、呼伦贝尔学院等联办5个职业本科教育；与内蒙古医科大学、内蒙古民族大学等开展专升本合作。</w:t>
      </w:r>
    </w:p>
    <w:p>
      <w:pPr>
        <w:widowControl/>
        <w:spacing w:line="600" w:lineRule="exact"/>
        <w:ind w:firstLine="640" w:firstLineChars="200"/>
        <w:rPr>
          <w:rFonts w:ascii="Times New Roman" w:cs="Times New Roman" w:hAnsiTheme="minorEastAsia"/>
          <w:sz w:val="32"/>
          <w:szCs w:val="32"/>
        </w:rPr>
      </w:pPr>
      <w:r>
        <w:rPr>
          <w:rFonts w:hint="eastAsia" w:ascii="Times New Roman" w:cs="Times New Roman" w:hAnsiTheme="minorEastAsia"/>
          <w:sz w:val="32"/>
          <w:szCs w:val="32"/>
        </w:rPr>
        <w:t>学院积极落实《国家职业教育改革实施方案》、《关于推进</w:t>
      </w:r>
      <w:r>
        <w:rPr>
          <w:rFonts w:ascii="Times New Roman" w:hAnsi="Times New Roman" w:eastAsia="仿宋" w:cs="Times New Roman"/>
          <w:sz w:val="32"/>
          <w:szCs w:val="32"/>
        </w:rPr>
        <w:t>1+</w:t>
      </w:r>
      <w:r>
        <w:rPr>
          <w:rFonts w:ascii="仿宋" w:hAnsi="仿宋" w:eastAsia="仿宋" w:cs="Times New Roman"/>
          <w:sz w:val="32"/>
          <w:szCs w:val="32"/>
        </w:rPr>
        <w:t>X</w:t>
      </w:r>
      <w:r>
        <w:rPr>
          <w:rFonts w:ascii="Times New Roman" w:cs="Times New Roman" w:hAnsiTheme="minorEastAsia"/>
          <w:sz w:val="32"/>
          <w:szCs w:val="32"/>
        </w:rPr>
        <w:t>证书</w:t>
      </w:r>
      <w:r>
        <w:rPr>
          <w:rFonts w:hint="eastAsia" w:ascii="Times New Roman" w:cs="Times New Roman" w:hAnsiTheme="minorEastAsia"/>
          <w:sz w:val="32"/>
          <w:szCs w:val="32"/>
        </w:rPr>
        <w:t>制度</w:t>
      </w:r>
      <w:r>
        <w:rPr>
          <w:rFonts w:ascii="Times New Roman" w:cs="Times New Roman" w:hAnsiTheme="minorEastAsia"/>
          <w:sz w:val="32"/>
          <w:szCs w:val="32"/>
        </w:rPr>
        <w:t>试点</w:t>
      </w:r>
      <w:r>
        <w:rPr>
          <w:rFonts w:hint="eastAsia" w:ascii="Times New Roman" w:cs="Times New Roman" w:hAnsiTheme="minorEastAsia"/>
          <w:sz w:val="32"/>
          <w:szCs w:val="32"/>
        </w:rPr>
        <w:t>工作的指导意见》和教育部等四部门《关于在院校实施“学历证书+若干职业技能等级证书”制度试点方案》（教职成〔2019〕6号），把</w:t>
      </w:r>
      <w:r>
        <w:rPr>
          <w:rFonts w:ascii="Times New Roman" w:hAnsi="Times New Roman" w:eastAsia="仿宋" w:cs="Times New Roman"/>
          <w:sz w:val="32"/>
          <w:szCs w:val="32"/>
        </w:rPr>
        <w:t>1+</w:t>
      </w:r>
      <w:r>
        <w:rPr>
          <w:rFonts w:ascii="仿宋" w:hAnsi="仿宋" w:eastAsia="仿宋" w:cs="Times New Roman"/>
          <w:sz w:val="32"/>
          <w:szCs w:val="32"/>
        </w:rPr>
        <w:t>X</w:t>
      </w:r>
      <w:r>
        <w:rPr>
          <w:rFonts w:ascii="Times New Roman" w:cs="Times New Roman" w:hAnsiTheme="minorEastAsia"/>
          <w:sz w:val="32"/>
          <w:szCs w:val="32"/>
        </w:rPr>
        <w:t>证书</w:t>
      </w:r>
      <w:r>
        <w:rPr>
          <w:rFonts w:hint="eastAsia" w:ascii="Times New Roman" w:cs="Times New Roman" w:hAnsiTheme="minorEastAsia"/>
          <w:sz w:val="32"/>
          <w:szCs w:val="32"/>
        </w:rPr>
        <w:t>制度</w:t>
      </w:r>
      <w:r>
        <w:rPr>
          <w:rFonts w:ascii="Times New Roman" w:cs="Times New Roman" w:hAnsiTheme="minorEastAsia"/>
          <w:sz w:val="32"/>
          <w:szCs w:val="32"/>
        </w:rPr>
        <w:t>试点</w:t>
      </w:r>
      <w:r>
        <w:rPr>
          <w:rFonts w:hint="eastAsia" w:ascii="Times New Roman" w:cs="Times New Roman" w:hAnsiTheme="minorEastAsia"/>
          <w:sz w:val="32"/>
          <w:szCs w:val="32"/>
        </w:rPr>
        <w:t>工作作为学院加强专业建设、深化教育教学改革、提高人才培养质量、拓展就业本领、</w:t>
      </w:r>
      <w:r>
        <w:rPr>
          <w:rStyle w:val="22"/>
          <w:color w:val="333333"/>
          <w:sz w:val="32"/>
          <w:szCs w:val="32"/>
        </w:rPr>
        <w:t>培养复合型技术技能人才</w:t>
      </w:r>
      <w:r>
        <w:rPr>
          <w:rFonts w:hint="eastAsia" w:ascii="Times New Roman" w:cs="Times New Roman" w:hAnsiTheme="minorEastAsia"/>
          <w:sz w:val="32"/>
          <w:szCs w:val="32"/>
        </w:rPr>
        <w:t>的重要抓手。</w:t>
      </w:r>
      <w:r>
        <w:rPr>
          <w:rFonts w:ascii="Times New Roman" w:cs="Times New Roman" w:hAnsiTheme="minorEastAsia"/>
          <w:sz w:val="32"/>
          <w:szCs w:val="32"/>
        </w:rPr>
        <w:t>2019年6月，</w:t>
      </w:r>
      <w:r>
        <w:rPr>
          <w:rFonts w:hint="eastAsia" w:ascii="Times New Roman" w:cs="Times New Roman" w:hAnsiTheme="minorEastAsia"/>
          <w:sz w:val="32"/>
          <w:szCs w:val="32"/>
        </w:rPr>
        <w:t>学院</w:t>
      </w:r>
      <w:r>
        <w:rPr>
          <w:rFonts w:ascii="Times New Roman" w:cs="Times New Roman" w:hAnsiTheme="minorEastAsia"/>
          <w:sz w:val="32"/>
          <w:szCs w:val="32"/>
        </w:rPr>
        <w:t>成为教育部首批老年照护1+</w:t>
      </w:r>
      <w:r>
        <w:rPr>
          <w:rFonts w:ascii="仿宋" w:hAnsi="仿宋" w:eastAsia="仿宋" w:cs="Times New Roman"/>
          <w:sz w:val="32"/>
          <w:szCs w:val="32"/>
        </w:rPr>
        <w:t>X</w:t>
      </w:r>
      <w:r>
        <w:rPr>
          <w:rFonts w:ascii="Times New Roman" w:cs="Times New Roman" w:hAnsiTheme="minorEastAsia"/>
          <w:sz w:val="32"/>
          <w:szCs w:val="32"/>
        </w:rPr>
        <w:t>证书</w:t>
      </w:r>
      <w:r>
        <w:rPr>
          <w:rFonts w:hint="eastAsia" w:ascii="Times New Roman" w:cs="Times New Roman" w:hAnsiTheme="minorEastAsia"/>
          <w:sz w:val="32"/>
          <w:szCs w:val="32"/>
        </w:rPr>
        <w:t>制度</w:t>
      </w:r>
      <w:r>
        <w:rPr>
          <w:rFonts w:ascii="Times New Roman" w:cs="Times New Roman" w:hAnsiTheme="minorEastAsia"/>
          <w:sz w:val="32"/>
          <w:szCs w:val="32"/>
        </w:rPr>
        <w:t>试点院校。</w:t>
      </w:r>
    </w:p>
    <w:p>
      <w:pPr>
        <w:widowControl/>
        <w:spacing w:line="600" w:lineRule="exact"/>
        <w:jc w:val="left"/>
        <w:rPr>
          <w:rFonts w:ascii="Times New Roman" w:hAnsi="Times New Roman" w:eastAsia="仿宋" w:cs="Times New Roman"/>
          <w:color w:val="C55A11" w:themeColor="accent2" w:themeShade="BF"/>
          <w:sz w:val="32"/>
          <w:szCs w:val="32"/>
        </w:rPr>
      </w:pPr>
      <w:r>
        <w:rPr>
          <w:rFonts w:ascii="Times New Roman" w:hAnsi="仿宋" w:eastAsia="仿宋" w:cs="Times New Roman"/>
          <w:color w:val="C55A11" w:themeColor="accent2" w:themeShade="BF"/>
          <w:sz w:val="32"/>
          <w:szCs w:val="32"/>
        </w:rPr>
        <w:t>【案例</w:t>
      </w:r>
      <w:r>
        <w:rPr>
          <w:rFonts w:ascii="Times New Roman" w:hAnsi="Times New Roman" w:eastAsia="仿宋" w:cs="Times New Roman"/>
          <w:color w:val="C55A11" w:themeColor="accent2" w:themeShade="BF"/>
          <w:sz w:val="32"/>
          <w:szCs w:val="32"/>
        </w:rPr>
        <w:t>9</w:t>
      </w:r>
      <w:r>
        <w:rPr>
          <w:rFonts w:ascii="Times New Roman" w:hAnsi="仿宋" w:eastAsia="仿宋" w:cs="Times New Roman"/>
          <w:color w:val="C55A11" w:themeColor="accent2" w:themeShade="BF"/>
          <w:sz w:val="32"/>
          <w:szCs w:val="32"/>
        </w:rPr>
        <w:t>】对照标准制方案</w:t>
      </w:r>
      <w:r>
        <w:rPr>
          <w:rFonts w:hint="eastAsia" w:ascii="Times New Roman" w:hAnsi="仿宋" w:eastAsia="仿宋" w:cs="Times New Roman"/>
          <w:color w:val="C55A11" w:themeColor="accent2" w:themeShade="BF"/>
          <w:sz w:val="32"/>
          <w:szCs w:val="32"/>
        </w:rPr>
        <w:t xml:space="preserve"> </w:t>
      </w:r>
      <w:r>
        <w:rPr>
          <w:rFonts w:ascii="Times New Roman" w:hAnsi="仿宋" w:eastAsia="仿宋" w:cs="Times New Roman"/>
          <w:color w:val="C55A11" w:themeColor="accent2" w:themeShade="BF"/>
          <w:sz w:val="32"/>
          <w:szCs w:val="32"/>
        </w:rPr>
        <w:t>精准培养求质量</w:t>
      </w:r>
    </w:p>
    <w:p>
      <w:pPr>
        <w:widowControl/>
        <w:spacing w:line="600" w:lineRule="exact"/>
        <w:ind w:firstLine="640" w:firstLineChars="200"/>
        <w:rPr>
          <w:rFonts w:ascii="Times New Roman" w:hAnsi="Times New Roman" w:eastAsia="仿宋" w:cs="Times New Roman"/>
          <w:sz w:val="32"/>
          <w:szCs w:val="32"/>
        </w:rPr>
      </w:pPr>
      <w:r>
        <w:rPr>
          <w:rFonts w:ascii="Times New Roman" w:hAnsi="仿宋" w:eastAsia="仿宋" w:cs="Times New Roman"/>
          <w:sz w:val="32"/>
          <w:szCs w:val="32"/>
        </w:rPr>
        <w:t>学院以教学标准制定为抓手，为不断提升教学质量奠定了坚实的基础。从</w:t>
      </w:r>
      <w:r>
        <w:rPr>
          <w:rFonts w:ascii="Times New Roman" w:hAnsi="Times New Roman" w:eastAsia="仿宋" w:cs="Times New Roman"/>
          <w:sz w:val="32"/>
          <w:szCs w:val="32"/>
        </w:rPr>
        <w:t xml:space="preserve"> 2017 </w:t>
      </w:r>
      <w:r>
        <w:rPr>
          <w:rFonts w:ascii="Times New Roman" w:hAnsi="仿宋" w:eastAsia="仿宋" w:cs="Times New Roman"/>
          <w:sz w:val="32"/>
          <w:szCs w:val="32"/>
        </w:rPr>
        <w:t>年开始，针对专业教学标准、课程标准和课程体系设置不科学等问题，以专业团队和课程团队为主体编制专业教学标准和课程标准。学院通过举办教学标准解读会、教学标准编制培训会、课程体系设置研讨会等，对专业带头人进行培训；开展专业带头人说专业、骨干教师说课程等提升教师教学能力。目前全院</w:t>
      </w:r>
      <w:r>
        <w:rPr>
          <w:rFonts w:ascii="Times New Roman" w:hAnsi="Times New Roman" w:eastAsia="仿宋" w:cs="Times New Roman"/>
          <w:sz w:val="32"/>
          <w:szCs w:val="32"/>
        </w:rPr>
        <w:t xml:space="preserve"> 26</w:t>
      </w:r>
      <w:r>
        <w:rPr>
          <w:rFonts w:ascii="Times New Roman" w:hAnsi="仿宋" w:eastAsia="仿宋" w:cs="Times New Roman"/>
          <w:sz w:val="32"/>
          <w:szCs w:val="32"/>
        </w:rPr>
        <w:t>个招生培养专业、</w:t>
      </w:r>
      <w:r>
        <w:rPr>
          <w:rFonts w:ascii="Times New Roman" w:hAnsi="Times New Roman" w:eastAsia="仿宋" w:cs="Times New Roman"/>
          <w:sz w:val="32"/>
          <w:szCs w:val="32"/>
        </w:rPr>
        <w:t>306</w:t>
      </w:r>
      <w:r>
        <w:rPr>
          <w:rFonts w:ascii="Times New Roman" w:hAnsi="仿宋" w:eastAsia="仿宋" w:cs="Times New Roman"/>
          <w:sz w:val="32"/>
          <w:szCs w:val="32"/>
        </w:rPr>
        <w:t>门核心课程和通识课程都完成了标准的制定，为下一步精准培养、提升人才培养质量打下坚实的基础。</w:t>
      </w:r>
    </w:p>
    <w:p>
      <w:pPr>
        <w:widowControl/>
        <w:spacing w:line="600" w:lineRule="exact"/>
        <w:jc w:val="center"/>
        <w:rPr>
          <w:rFonts w:ascii="仿宋" w:hAnsi="仿宋" w:eastAsia="仿宋"/>
          <w:b/>
          <w:color w:val="C55A11" w:themeColor="accent2" w:themeShade="BF"/>
          <w:sz w:val="24"/>
          <w:szCs w:val="24"/>
        </w:rPr>
      </w:pPr>
      <w:r>
        <w:rPr>
          <w:rFonts w:ascii="宋体" w:hAnsi="宋体" w:eastAsia="宋体" w:cs="宋体"/>
          <w:b/>
          <w:sz w:val="24"/>
          <w:szCs w:val="24"/>
        </w:rPr>
        <w:drawing>
          <wp:anchor distT="0" distB="0" distL="114300" distR="114300" simplePos="0" relativeHeight="251675648" behindDoc="0" locked="0" layoutInCell="1" allowOverlap="1">
            <wp:simplePos x="0" y="0"/>
            <wp:positionH relativeFrom="column">
              <wp:posOffset>6350</wp:posOffset>
            </wp:positionH>
            <wp:positionV relativeFrom="paragraph">
              <wp:posOffset>190500</wp:posOffset>
            </wp:positionV>
            <wp:extent cx="5266690" cy="3950335"/>
            <wp:effectExtent l="0" t="0" r="0" b="0"/>
            <wp:wrapThrough wrapText="bothSides">
              <wp:wrapPolygon>
                <wp:start x="0" y="0"/>
                <wp:lineTo x="0" y="21458"/>
                <wp:lineTo x="21485" y="21458"/>
                <wp:lineTo x="21485" y="0"/>
                <wp:lineTo x="0" y="0"/>
              </wp:wrapPolygon>
            </wp:wrapThrough>
            <wp:docPr id="29" name="图片 29" descr="fd45a87b2a3c5725ff758e635f5f9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d45a87b2a3c5725ff758e635f5f9e9"/>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66690" cy="3950335"/>
                    </a:xfrm>
                    <a:prstGeom prst="rect">
                      <a:avLst/>
                    </a:prstGeom>
                  </pic:spPr>
                </pic:pic>
              </a:graphicData>
            </a:graphic>
          </wp:anchor>
        </w:drawing>
      </w: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1</w:t>
      </w:r>
      <w:r>
        <w:rPr>
          <w:rFonts w:hint="eastAsia" w:ascii="仿宋" w:hAnsi="仿宋" w:eastAsia="仿宋"/>
          <w:b/>
          <w:color w:val="C55A11" w:themeColor="accent2" w:themeShade="BF"/>
          <w:sz w:val="24"/>
          <w:szCs w:val="24"/>
        </w:rPr>
        <w:t>：</w:t>
      </w:r>
      <w:r>
        <w:rPr>
          <w:rFonts w:hint="eastAsia" w:ascii="仿宋" w:hAnsi="仿宋" w:eastAsia="仿宋"/>
          <w:b/>
          <w:sz w:val="24"/>
          <w:szCs w:val="24"/>
        </w:rPr>
        <w:t>教学标准编制培训</w:t>
      </w:r>
    </w:p>
    <w:p>
      <w:pPr>
        <w:widowControl/>
        <w:spacing w:line="600" w:lineRule="exact"/>
        <w:jc w:val="left"/>
        <w:rPr>
          <w:rFonts w:ascii="仿宋" w:hAnsi="仿宋" w:eastAsia="仿宋"/>
          <w:color w:val="C55A11" w:themeColor="accent2" w:themeShade="BF"/>
          <w:sz w:val="32"/>
          <w:szCs w:val="32"/>
        </w:rPr>
      </w:pPr>
      <w:r>
        <w:rPr>
          <w:rFonts w:ascii="仿宋" w:hAnsi="仿宋" w:eastAsia="仿宋"/>
          <w:color w:val="C55A11" w:themeColor="accent2" w:themeShade="BF"/>
          <w:sz w:val="32"/>
          <w:szCs w:val="32"/>
        </w:rPr>
        <w:t>【案例10】1+X证书</w:t>
      </w:r>
      <w:r>
        <w:rPr>
          <w:rFonts w:hint="eastAsia" w:ascii="仿宋" w:hAnsi="仿宋" w:eastAsia="仿宋"/>
          <w:color w:val="C55A11" w:themeColor="accent2" w:themeShade="BF"/>
          <w:sz w:val="32"/>
          <w:szCs w:val="32"/>
        </w:rPr>
        <w:t>制度</w:t>
      </w:r>
      <w:r>
        <w:rPr>
          <w:rFonts w:ascii="仿宋" w:hAnsi="仿宋" w:eastAsia="仿宋"/>
          <w:color w:val="C55A11" w:themeColor="accent2" w:themeShade="BF"/>
          <w:sz w:val="32"/>
          <w:szCs w:val="32"/>
        </w:rPr>
        <w:t>试点</w:t>
      </w:r>
      <w:r>
        <w:rPr>
          <w:rFonts w:hint="eastAsia" w:ascii="仿宋" w:hAnsi="仿宋" w:eastAsia="仿宋"/>
          <w:color w:val="C55A11" w:themeColor="accent2" w:themeShade="BF"/>
          <w:sz w:val="32"/>
          <w:szCs w:val="32"/>
        </w:rPr>
        <w:t xml:space="preserve"> 助力护理专业发展</w:t>
      </w:r>
    </w:p>
    <w:p>
      <w:pPr>
        <w:widowControl/>
        <w:spacing w:line="600" w:lineRule="exact"/>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学院紧紧围绕老年护理产业发展和地方区域需求，积极响应教育部等四部门《关于在院校实施“学历证书+若干职业技能等级证书”制度试点方案》</w:t>
      </w:r>
      <w:r>
        <w:rPr>
          <w:rFonts w:ascii="Times New Roman" w:hAnsi="仿宋" w:eastAsia="仿宋" w:cs="Times New Roman"/>
          <w:sz w:val="32"/>
          <w:szCs w:val="32"/>
        </w:rPr>
        <w:t>，</w:t>
      </w:r>
      <w:r>
        <w:rPr>
          <w:rFonts w:hint="eastAsia" w:ascii="Times New Roman" w:hAnsi="仿宋" w:eastAsia="仿宋" w:cs="Times New Roman"/>
          <w:sz w:val="32"/>
          <w:szCs w:val="32"/>
        </w:rPr>
        <w:t>以老年照护1+</w:t>
      </w:r>
      <w:r>
        <w:rPr>
          <w:rFonts w:ascii="Times New Roman" w:hAnsi="仿宋" w:eastAsia="仿宋" w:cs="Times New Roman"/>
          <w:sz w:val="32"/>
          <w:szCs w:val="32"/>
        </w:rPr>
        <w:t>X</w:t>
      </w:r>
      <w:r>
        <w:rPr>
          <w:rFonts w:hint="eastAsia" w:ascii="Times New Roman" w:hAnsi="仿宋" w:eastAsia="仿宋" w:cs="Times New Roman"/>
          <w:sz w:val="32"/>
          <w:szCs w:val="32"/>
        </w:rPr>
        <w:t>证书试点的专业(群)作为学院教育教学改革的突破口，将1+</w:t>
      </w:r>
      <w:r>
        <w:rPr>
          <w:rFonts w:ascii="Times New Roman" w:hAnsi="仿宋" w:eastAsia="仿宋" w:cs="Times New Roman"/>
          <w:sz w:val="32"/>
          <w:szCs w:val="32"/>
        </w:rPr>
        <w:t>X</w:t>
      </w:r>
      <w:r>
        <w:rPr>
          <w:rFonts w:hint="eastAsia" w:ascii="Times New Roman" w:hAnsi="仿宋" w:eastAsia="仿宋" w:cs="Times New Roman"/>
          <w:sz w:val="32"/>
          <w:szCs w:val="32"/>
        </w:rPr>
        <w:t>证书制度试点与护理专业建设、课程建设、教师队伍建设等紧密结合。通过试点，深化教师、教材、教法“三教”改革，促进校企合作，建好用好实训基地，探索建设“通辽职业学院学分银行”，推进“1”和“X”的有机衔接，提升职业教育质量和学生就业能力。</w:t>
      </w:r>
    </w:p>
    <w:p>
      <w:pPr>
        <w:widowControl/>
        <w:spacing w:line="600" w:lineRule="exact"/>
        <w:ind w:firstLine="640" w:firstLineChars="200"/>
        <w:rPr>
          <w:rFonts w:ascii="Times New Roman" w:cs="Times New Roman" w:hAnsiTheme="minorEastAsia"/>
          <w:color w:val="C00000"/>
          <w:sz w:val="32"/>
          <w:szCs w:val="32"/>
        </w:rPr>
      </w:pPr>
    </w:p>
    <w:p>
      <w:pPr>
        <w:widowControl/>
        <w:spacing w:line="600" w:lineRule="exact"/>
        <w:jc w:val="center"/>
        <w:rPr>
          <w:rFonts w:ascii="Times New Roman" w:cs="Times New Roman" w:hAnsiTheme="minorEastAsia"/>
          <w:color w:val="C00000"/>
          <w:sz w:val="32"/>
          <w:szCs w:val="32"/>
        </w:rPr>
      </w:pPr>
      <w:r>
        <w:drawing>
          <wp:anchor distT="0" distB="0" distL="114300" distR="114300" simplePos="0" relativeHeight="251676672" behindDoc="0" locked="0" layoutInCell="1" allowOverlap="1">
            <wp:simplePos x="0" y="0"/>
            <wp:positionH relativeFrom="column">
              <wp:posOffset>-25400</wp:posOffset>
            </wp:positionH>
            <wp:positionV relativeFrom="paragraph">
              <wp:posOffset>0</wp:posOffset>
            </wp:positionV>
            <wp:extent cx="5266690" cy="3784600"/>
            <wp:effectExtent l="0" t="0" r="0" b="6350"/>
            <wp:wrapThrough wrapText="bothSides">
              <wp:wrapPolygon>
                <wp:start x="0" y="0"/>
                <wp:lineTo x="0" y="21528"/>
                <wp:lineTo x="21485" y="21528"/>
                <wp:lineTo x="21485" y="0"/>
                <wp:lineTo x="0" y="0"/>
              </wp:wrapPolygon>
            </wp:wrapThrough>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66690" cy="3784600"/>
                    </a:xfrm>
                    <a:prstGeom prst="rect">
                      <a:avLst/>
                    </a:prstGeom>
                    <a:noFill/>
                    <a:ln>
                      <a:noFill/>
                    </a:ln>
                  </pic:spPr>
                </pic:pic>
              </a:graphicData>
            </a:graphic>
          </wp:anchor>
        </w:drawing>
      </w: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2</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学院参加老年照护职业技能等级证书试点项目第二期宣讲会</w:t>
      </w:r>
    </w:p>
    <w:p>
      <w:pPr>
        <w:widowControl/>
        <w:spacing w:line="600" w:lineRule="exact"/>
        <w:ind w:firstLine="640" w:firstLineChars="200"/>
        <w:rPr>
          <w:rFonts w:ascii="Times New Roman" w:cs="Times New Roman" w:hAnsiTheme="minorEastAsia"/>
          <w:sz w:val="32"/>
          <w:szCs w:val="32"/>
        </w:rPr>
      </w:pPr>
      <w:r>
        <w:rPr>
          <w:rFonts w:hint="eastAsia" w:ascii="Times New Roman" w:cs="Times New Roman" w:hAnsiTheme="minorEastAsia"/>
          <w:sz w:val="32"/>
          <w:szCs w:val="32"/>
        </w:rPr>
        <w:t>持续推进课程建设，通过充分的专业调研、聘请行业专家分析指导、专业教师研讨论证、毕业生反馈，以学分制为载体，建立了“平台+模块”的专业课程体系，进一步完善了能力递进的校内实训教学体系和校外实践教学体系，初步探索了课内课外相结合、校内校外相结合、养成与渗透教育相结合的素质教育体系和“专门课程+训练实战”创新创业体系。</w:t>
      </w:r>
    </w:p>
    <w:p>
      <w:pPr>
        <w:rPr>
          <w:rFonts w:asciiTheme="minorEastAsia" w:hAnsiTheme="minorEastAsia"/>
          <w:sz w:val="32"/>
          <w:szCs w:val="32"/>
        </w:rPr>
      </w:pPr>
      <w:r>
        <w:rPr>
          <w:rFonts w:hint="eastAsia" w:ascii="Times New Roman" w:cs="Times New Roman" w:hAnsiTheme="minorEastAsia"/>
          <w:sz w:val="32"/>
          <w:szCs w:val="32"/>
        </w:rPr>
        <w:t>本</w:t>
      </w:r>
      <w:r>
        <w:rPr>
          <w:rFonts w:ascii="Times New Roman" w:hAnsi="Times New Roman" w:cs="Times New Roman"/>
          <w:sz w:val="32"/>
          <w:szCs w:val="32"/>
        </w:rPr>
        <w:t>学年开设课程总数805门，其中</w:t>
      </w:r>
      <w:r>
        <w:rPr>
          <w:rFonts w:ascii="Times New Roman" w:hAnsi="Times New Roman" w:cs="Times New Roman" w:eastAsiaTheme="majorEastAsia"/>
          <w:sz w:val="32"/>
          <w:szCs w:val="32"/>
        </w:rPr>
        <w:t>A</w:t>
      </w:r>
      <w:r>
        <w:rPr>
          <w:rFonts w:ascii="Times New Roman" w:cs="Times New Roman" w:hAnsiTheme="majorEastAsia" w:eastAsiaTheme="majorEastAsia"/>
          <w:sz w:val="32"/>
          <w:szCs w:val="32"/>
        </w:rPr>
        <w:t>类课程</w:t>
      </w:r>
      <w:r>
        <w:rPr>
          <w:rFonts w:ascii="Times New Roman" w:hAnsi="Times New Roman" w:cs="Times New Roman"/>
          <w:sz w:val="32"/>
          <w:szCs w:val="32"/>
        </w:rPr>
        <w:t>196</w:t>
      </w:r>
      <w:r>
        <w:rPr>
          <w:rFonts w:ascii="Times New Roman" w:cs="Times New Roman" w:hAnsiTheme="majorEastAsia" w:eastAsiaTheme="majorEastAsia"/>
          <w:sz w:val="32"/>
          <w:szCs w:val="32"/>
        </w:rPr>
        <w:t>门、</w:t>
      </w:r>
      <w:r>
        <w:rPr>
          <w:rFonts w:ascii="Times New Roman" w:hAnsi="Times New Roman" w:cs="Times New Roman" w:eastAsiaTheme="majorEastAsia"/>
          <w:sz w:val="32"/>
          <w:szCs w:val="32"/>
        </w:rPr>
        <w:t>B</w:t>
      </w:r>
      <w:r>
        <w:rPr>
          <w:rFonts w:hint="eastAsia" w:ascii="Times New Roman" w:hAnsi="Times New Roman" w:cs="Times New Roman" w:eastAsiaTheme="majorEastAsia"/>
          <w:sz w:val="32"/>
          <w:szCs w:val="32"/>
        </w:rPr>
        <w:t>类课程505门、</w:t>
      </w:r>
      <w:r>
        <w:rPr>
          <w:rFonts w:ascii="Times New Roman" w:hAnsi="Times New Roman" w:cs="Times New Roman" w:eastAsiaTheme="majorEastAsia"/>
          <w:sz w:val="32"/>
          <w:szCs w:val="32"/>
        </w:rPr>
        <w:t>C</w:t>
      </w:r>
      <w:r>
        <w:rPr>
          <w:rFonts w:hint="eastAsia" w:ascii="Times New Roman" w:hAnsi="Times New Roman" w:cs="Times New Roman" w:eastAsiaTheme="majorEastAsia"/>
          <w:sz w:val="32"/>
          <w:szCs w:val="32"/>
        </w:rPr>
        <w:t>类课程130门。制订了306门课程标准，建设了68门“理实一体化”课程。</w:t>
      </w:r>
    </w:p>
    <w:p>
      <w:pPr>
        <w:pStyle w:val="3"/>
      </w:pPr>
      <w:bookmarkStart w:id="27" w:name="_Toc21799"/>
      <w:bookmarkStart w:id="28" w:name="_Toc28254446"/>
      <w:r>
        <w:rPr>
          <w:rFonts w:hint="eastAsia"/>
        </w:rPr>
        <w:t>2</w:t>
      </w:r>
      <w:r>
        <w:t>.2 产</w:t>
      </w:r>
      <w:r>
        <w:rPr>
          <w:rFonts w:hint="eastAsia"/>
        </w:rPr>
        <w:t>教</w:t>
      </w:r>
      <w:r>
        <w:t>融合</w:t>
      </w:r>
      <w:bookmarkEnd w:id="27"/>
      <w:bookmarkEnd w:id="28"/>
    </w:p>
    <w:p>
      <w:pPr>
        <w:widowControl/>
        <w:spacing w:line="600" w:lineRule="exact"/>
        <w:ind w:firstLine="640" w:firstLineChars="200"/>
        <w:rPr>
          <w:rFonts w:ascii="Times New Roman" w:hAnsi="Times New Roman" w:cs="Times New Roman" w:eastAsiaTheme="majorEastAsia"/>
          <w:sz w:val="32"/>
          <w:szCs w:val="32"/>
        </w:rPr>
      </w:pPr>
      <w:r>
        <w:rPr>
          <w:rFonts w:hint="eastAsia" w:ascii="Times New Roman" w:hAnsi="Times New Roman" w:cs="Times New Roman" w:eastAsiaTheme="majorEastAsia"/>
          <w:sz w:val="32"/>
          <w:szCs w:val="32"/>
        </w:rPr>
        <w:t>根据教育部《普通高等学校理事会规程（试行）》和《通辽职业学院章程》，完善政府引导、行业指导、企业参与的办学格局。成立学院校企合作领导小组，出台《通辽职业学院校企合作管理办法》，整合办学资源，推进合作办学、合作育人、合作就业、合作发展，提高人才培养质量和办学水平，提升服务社会的能力，全面增强学院办学活力。</w:t>
      </w:r>
    </w:p>
    <w:p>
      <w:pPr>
        <w:widowControl/>
        <w:spacing w:line="600" w:lineRule="exact"/>
        <w:ind w:firstLine="640" w:firstLineChars="200"/>
        <w:rPr>
          <w:rFonts w:ascii="Times New Roman" w:cs="Times New Roman" w:hAnsiTheme="minorEastAsia"/>
          <w:sz w:val="32"/>
          <w:szCs w:val="32"/>
        </w:rPr>
      </w:pPr>
      <w:r>
        <w:rPr>
          <w:rFonts w:ascii="Times New Roman" w:cs="Times New Roman" w:hAnsiTheme="minorEastAsia"/>
          <w:sz w:val="32"/>
          <w:szCs w:val="32"/>
        </w:rPr>
        <w:t>积极贯彻落实国务院、</w:t>
      </w:r>
      <w:r>
        <w:rPr>
          <w:rFonts w:hint="eastAsia" w:ascii="Times New Roman" w:cs="Times New Roman" w:hAnsiTheme="minorEastAsia"/>
          <w:sz w:val="32"/>
          <w:szCs w:val="32"/>
        </w:rPr>
        <w:t>自治区</w:t>
      </w:r>
      <w:r>
        <w:rPr>
          <w:rFonts w:ascii="Times New Roman" w:cs="Times New Roman" w:hAnsiTheme="minorEastAsia"/>
          <w:sz w:val="32"/>
          <w:szCs w:val="32"/>
        </w:rPr>
        <w:t>政府关于深化产教融合的政策文件，</w:t>
      </w:r>
      <w:r>
        <w:rPr>
          <w:rFonts w:hint="eastAsia" w:ascii="Times New Roman" w:cs="Times New Roman" w:hAnsiTheme="minorEastAsia"/>
          <w:sz w:val="32"/>
          <w:szCs w:val="32"/>
        </w:rPr>
        <w:t>通辽市委、市政府牵头协调、学院主动推进、行业企业积极参与成立通辽职教集团。40余家集团合作行业企业与学院各专业共同搭建起人才共育、机构共管、基地共建、契约共守、资源共用、利益共享的合作体制与运行机制。</w:t>
      </w:r>
    </w:p>
    <w:p>
      <w:pPr>
        <w:widowControl/>
        <w:spacing w:line="600" w:lineRule="exact"/>
        <w:ind w:firstLine="640" w:firstLineChars="200"/>
        <w:rPr>
          <w:rFonts w:ascii="Times New Roman" w:cs="Times New Roman" w:hAnsiTheme="minorEastAsia"/>
          <w:sz w:val="32"/>
          <w:szCs w:val="32"/>
        </w:rPr>
      </w:pPr>
      <w:r>
        <w:rPr>
          <w:rFonts w:hint="eastAsia" w:ascii="Times New Roman" w:cs="Times New Roman" w:hAnsiTheme="minorEastAsia"/>
          <w:sz w:val="32"/>
          <w:szCs w:val="32"/>
        </w:rPr>
        <w:t>坚持因地制宜，探索现代学徒制、订单培养等多种形式产教融合办学模式，按照“专业融入产业、规格服从岗位、教学贴近生产”的原则，新开设护理专业（老年护理方向）、护理专业（口腔护理方向）、酒店管理（高铁乘务方向）等专业方向，依托老年照护“1+X”证书试点院校优势和“蒙东情”家政服务培训品牌，积极探索产教融合的新模式。</w:t>
      </w:r>
    </w:p>
    <w:p>
      <w:pPr>
        <w:widowControl/>
        <w:spacing w:line="600" w:lineRule="exact"/>
        <w:ind w:firstLine="640" w:firstLineChars="200"/>
        <w:rPr>
          <w:rFonts w:ascii="Times New Roman" w:cs="Times New Roman" w:hAnsiTheme="minorEastAsia"/>
          <w:sz w:val="32"/>
          <w:szCs w:val="32"/>
        </w:rPr>
      </w:pPr>
      <w:r>
        <w:rPr>
          <w:rFonts w:hint="eastAsia" w:ascii="Times New Roman" w:cs="Times New Roman" w:hAnsiTheme="minorEastAsia"/>
          <w:sz w:val="32"/>
          <w:szCs w:val="32"/>
        </w:rPr>
        <w:t>学院建有1所附属口腔医院、1所附属儿童医院；产学合作企业7个，校企共同开发课程2门、教材1本。2018年，到企业实践锻炼教师10人</w:t>
      </w:r>
      <w:r>
        <w:rPr>
          <w:rFonts w:hint="eastAsia" w:ascii="仿宋" w:hAnsi="仿宋" w:eastAsia="仿宋"/>
          <w:sz w:val="32"/>
          <w:szCs w:val="32"/>
        </w:rPr>
        <w:t>，</w:t>
      </w:r>
      <w:r>
        <w:rPr>
          <w:rFonts w:hint="eastAsia" w:ascii="Times New Roman" w:cs="Times New Roman" w:hAnsiTheme="minorEastAsia"/>
          <w:sz w:val="32"/>
          <w:szCs w:val="32"/>
        </w:rPr>
        <w:t>累计时间1695天；为企业培养人员107人；订单培养学生114人，进行现代学徒制试点专业1个。</w:t>
      </w:r>
    </w:p>
    <w:p>
      <w:pPr>
        <w:widowControl/>
        <w:spacing w:line="600" w:lineRule="exact"/>
        <w:jc w:val="left"/>
        <w:rPr>
          <w:rFonts w:ascii="仿宋" w:hAnsi="仿宋" w:eastAsia="仿宋"/>
          <w:color w:val="C55A11" w:themeColor="accent2" w:themeShade="BF"/>
          <w:sz w:val="32"/>
          <w:szCs w:val="32"/>
        </w:rPr>
      </w:pPr>
      <w:r>
        <w:rPr>
          <w:rFonts w:ascii="仿宋" w:hAnsi="仿宋" w:eastAsia="仿宋"/>
          <w:color w:val="C55A11" w:themeColor="accent2" w:themeShade="BF"/>
          <w:sz w:val="32"/>
          <w:szCs w:val="32"/>
        </w:rPr>
        <w:t>【案例11】</w:t>
      </w:r>
      <w:r>
        <w:rPr>
          <w:rFonts w:hint="eastAsia" w:ascii="仿宋" w:hAnsi="仿宋" w:eastAsia="仿宋"/>
          <w:color w:val="C55A11" w:themeColor="accent2" w:themeShade="BF"/>
          <w:sz w:val="32"/>
          <w:szCs w:val="32"/>
        </w:rPr>
        <w:t>搭建产教融合平台 共育口腔护理人才</w:t>
      </w:r>
    </w:p>
    <w:p>
      <w:pPr>
        <w:widowControl/>
        <w:spacing w:line="600" w:lineRule="exact"/>
        <w:ind w:firstLine="640" w:firstLineChars="200"/>
        <w:rPr>
          <w:rFonts w:ascii="Times New Roman" w:cs="Times New Roman" w:hAnsiTheme="minorEastAsia"/>
          <w:color w:val="C00000"/>
          <w:sz w:val="32"/>
          <w:szCs w:val="32"/>
        </w:rPr>
      </w:pPr>
      <w:r>
        <w:rPr>
          <w:rFonts w:ascii="Times New Roman" w:hAnsi="Times New Roman" w:eastAsia="仿宋" w:cs="Times New Roman"/>
          <w:sz w:val="32"/>
          <w:szCs w:val="32"/>
        </w:rPr>
        <w:t>学院坚持“融入行业企业机构，建设产教融合平台，培育区域人才”的理念，主动服务区域经济高质量发展。</w:t>
      </w:r>
      <w:r>
        <w:rPr>
          <w:rFonts w:ascii="Times New Roman" w:hAnsi="Times New Roman" w:eastAsia="仿宋" w:cs="Times New Roman"/>
          <w:color w:val="222222"/>
          <w:spacing w:val="8"/>
          <w:sz w:val="32"/>
          <w:szCs w:val="32"/>
          <w:shd w:val="clear" w:color="auto" w:fill="FFFFFF"/>
        </w:rPr>
        <w:t>2019年3月学院与大连春和医学科技有限公司</w:t>
      </w:r>
      <w:r>
        <w:rPr>
          <w:rFonts w:hint="eastAsia" w:ascii="Times New Roman" w:hAnsi="Times New Roman" w:eastAsia="仿宋" w:cs="Times New Roman"/>
          <w:color w:val="222222"/>
          <w:spacing w:val="8"/>
          <w:sz w:val="32"/>
          <w:szCs w:val="32"/>
          <w:shd w:val="clear" w:color="auto" w:fill="FFFFFF"/>
        </w:rPr>
        <w:t>牵手</w:t>
      </w:r>
      <w:r>
        <w:rPr>
          <w:rFonts w:ascii="Times New Roman" w:hAnsi="Times New Roman" w:eastAsia="仿宋" w:cs="Times New Roman"/>
          <w:color w:val="222222"/>
          <w:spacing w:val="8"/>
          <w:sz w:val="32"/>
          <w:szCs w:val="32"/>
          <w:shd w:val="clear" w:color="auto" w:fill="FFFFFF"/>
        </w:rPr>
        <w:t>，</w:t>
      </w:r>
      <w:r>
        <w:rPr>
          <w:rFonts w:hint="eastAsia" w:ascii="Times New Roman" w:hAnsi="Times New Roman" w:eastAsia="仿宋" w:cs="Times New Roman"/>
          <w:color w:val="222222"/>
          <w:spacing w:val="8"/>
          <w:sz w:val="32"/>
          <w:szCs w:val="32"/>
          <w:shd w:val="clear" w:color="auto" w:fill="FFFFFF"/>
        </w:rPr>
        <w:t>签订</w:t>
      </w:r>
      <w:r>
        <w:rPr>
          <w:rFonts w:ascii="Times New Roman" w:hAnsi="Times New Roman" w:eastAsia="仿宋" w:cs="Times New Roman"/>
          <w:color w:val="222222"/>
          <w:spacing w:val="8"/>
          <w:sz w:val="32"/>
          <w:szCs w:val="32"/>
          <w:shd w:val="clear" w:color="auto" w:fill="FFFFFF"/>
        </w:rPr>
        <w:t>校企合作共同培养口腔护理人才协议</w:t>
      </w:r>
      <w:r>
        <w:rPr>
          <w:rFonts w:hint="eastAsia" w:ascii="Times New Roman" w:hAnsi="Times New Roman" w:eastAsia="仿宋" w:cs="Times New Roman"/>
          <w:color w:val="222222"/>
          <w:spacing w:val="8"/>
          <w:sz w:val="32"/>
          <w:szCs w:val="32"/>
          <w:shd w:val="clear" w:color="auto" w:fill="FFFFFF"/>
        </w:rPr>
        <w:t>，校企深度融合，形成人才共育、机构共管、基地共建、契约共守、资源共用、利益共享的口腔护理人才培养模式</w:t>
      </w:r>
      <w:r>
        <w:rPr>
          <w:rFonts w:ascii="Times New Roman" w:hAnsi="Times New Roman" w:eastAsia="仿宋" w:cs="Times New Roman"/>
          <w:color w:val="222222"/>
          <w:spacing w:val="8"/>
          <w:sz w:val="32"/>
          <w:szCs w:val="32"/>
          <w:shd w:val="clear" w:color="auto" w:fill="FFFFFF"/>
        </w:rPr>
        <w:t>。</w:t>
      </w:r>
      <w:r>
        <w:rPr>
          <w:rFonts w:ascii="Times New Roman" w:hAnsi="Times New Roman" w:eastAsia="仿宋" w:cs="Times New Roman"/>
          <w:sz w:val="32"/>
          <w:szCs w:val="32"/>
        </w:rPr>
        <w:t>大连春和医学</w:t>
      </w:r>
      <w:r>
        <w:rPr>
          <w:rFonts w:ascii="Times New Roman" w:hAnsi="Times New Roman" w:eastAsia="仿宋" w:cs="Times New Roman"/>
          <w:color w:val="222222"/>
          <w:spacing w:val="8"/>
          <w:sz w:val="32"/>
          <w:szCs w:val="32"/>
          <w:shd w:val="clear" w:color="auto" w:fill="FFFFFF"/>
        </w:rPr>
        <w:t>科技有限</w:t>
      </w:r>
      <w:r>
        <w:rPr>
          <w:rFonts w:ascii="Times New Roman" w:hAnsi="Times New Roman" w:eastAsia="仿宋" w:cs="Times New Roman"/>
          <w:sz w:val="32"/>
          <w:szCs w:val="32"/>
        </w:rPr>
        <w:t>公司投资128万元，与护理系共同建设口腔护理实训室</w:t>
      </w:r>
      <w:r>
        <w:rPr>
          <w:rFonts w:hint="eastAsia" w:ascii="Times New Roman" w:hAnsi="Times New Roman" w:eastAsia="仿宋" w:cs="Times New Roman"/>
          <w:sz w:val="32"/>
          <w:szCs w:val="32"/>
        </w:rPr>
        <w:t>。通过学校和企业两种不同的教育环境和教育资源的高效整合，充分发挥企业、学校各自优势，培养学生的综合素质和应用能力，实现资源共享、优势互补、合作共赢。</w:t>
      </w:r>
    </w:p>
    <w:p>
      <w:pPr>
        <w:widowControl/>
        <w:spacing w:line="600" w:lineRule="exact"/>
        <w:jc w:val="center"/>
        <w:rPr>
          <w:rFonts w:ascii="Times New Roman" w:hAnsi="Times New Roman" w:eastAsia="仿宋" w:cs="Times New Roman"/>
          <w:sz w:val="32"/>
          <w:szCs w:val="32"/>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3</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学院与大连春和医学科技有限公司共建口腔护理技能实训基地</w:t>
      </w:r>
      <w:r>
        <w:drawing>
          <wp:anchor distT="0" distB="0" distL="114300" distR="114300" simplePos="0" relativeHeight="251677696" behindDoc="0" locked="0" layoutInCell="1" allowOverlap="1">
            <wp:simplePos x="0" y="0"/>
            <wp:positionH relativeFrom="margin">
              <wp:align>left</wp:align>
            </wp:positionH>
            <wp:positionV relativeFrom="paragraph">
              <wp:posOffset>190500</wp:posOffset>
            </wp:positionV>
            <wp:extent cx="5266690" cy="5130800"/>
            <wp:effectExtent l="0" t="0" r="0" b="0"/>
            <wp:wrapThrough wrapText="bothSides">
              <wp:wrapPolygon>
                <wp:start x="0" y="0"/>
                <wp:lineTo x="0" y="21493"/>
                <wp:lineTo x="21485" y="21493"/>
                <wp:lineTo x="21485" y="0"/>
                <wp:lineTo x="0" y="0"/>
              </wp:wrapPolygon>
            </wp:wrapThrough>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266690" cy="5130800"/>
                    </a:xfrm>
                    <a:prstGeom prst="rect">
                      <a:avLst/>
                    </a:prstGeom>
                    <a:noFill/>
                    <a:ln>
                      <a:noFill/>
                    </a:ln>
                  </pic:spPr>
                </pic:pic>
              </a:graphicData>
            </a:graphic>
          </wp:anchor>
        </w:drawing>
      </w:r>
    </w:p>
    <w:p>
      <w:pPr>
        <w:widowControl/>
        <w:spacing w:line="600" w:lineRule="exact"/>
        <w:jc w:val="left"/>
        <w:rPr>
          <w:rFonts w:ascii="仿宋" w:hAnsi="仿宋" w:eastAsia="仿宋"/>
          <w:color w:val="C55A11" w:themeColor="accent2" w:themeShade="BF"/>
          <w:sz w:val="32"/>
          <w:szCs w:val="32"/>
        </w:rPr>
      </w:pPr>
      <w:r>
        <w:rPr>
          <w:rFonts w:ascii="仿宋" w:hAnsi="仿宋" w:eastAsia="仿宋"/>
          <w:color w:val="C55A11" w:themeColor="accent2" w:themeShade="BF"/>
          <w:sz w:val="32"/>
          <w:szCs w:val="32"/>
        </w:rPr>
        <w:t>【案例12】</w:t>
      </w:r>
      <w:r>
        <w:rPr>
          <w:rFonts w:hint="eastAsia" w:ascii="仿宋" w:hAnsi="仿宋" w:eastAsia="仿宋"/>
          <w:color w:val="C55A11" w:themeColor="accent2" w:themeShade="BF"/>
          <w:sz w:val="32"/>
          <w:szCs w:val="32"/>
        </w:rPr>
        <w:t>产业文化进教育 企业文化进校园 医药文化进课堂</w:t>
      </w:r>
    </w:p>
    <w:p>
      <w:pPr>
        <w:ind w:firstLine="640" w:firstLineChars="200"/>
        <w:rPr>
          <w:rFonts w:ascii="Times New Roman" w:cs="Times New Roman" w:hAnsiTheme="minorEastAsia"/>
          <w:color w:val="C00000"/>
          <w:sz w:val="32"/>
          <w:szCs w:val="32"/>
        </w:rPr>
      </w:pPr>
      <w:r>
        <w:rPr>
          <w:rFonts w:hint="eastAsia" w:ascii="Times New Roman" w:hAnsi="仿宋" w:eastAsia="仿宋" w:cs="Times New Roman"/>
          <w:sz w:val="32"/>
          <w:szCs w:val="32"/>
        </w:rPr>
        <w:t>2018年，药学专业与吉林大药房药业有限公司签订了药学专业现代学徒制校企合作协议。校企双方共同制定人才培养方案、课程体系、教学质量监控体系；共同制定专业教学标准、课程标准、岗位标准、企业师傅标准等各项标准制度，夯实校企合作机制。坚持校企“双主体育人”、学校教师和企业师傅“双导师教学”，明确学徒企业员工和职业院校学生“双重身份”。培养采用“1.5+0.5+1”学制培养模式，“1.5”为在校学习过程，完成部分专业基础及专业技能课程，并在校内进行校内实操培训；“0.5”在企业完成，根据企业岗位需求进行集中专项学习，完成“学生一学徒”的转化，采用一师多徒的办法，由企业带教师傅完成必要的岗上培训及岗位素质提升培训，“1”为进入跟岗和顶岗学习，完成“学徒一准员工一员工”的转化建立健全考核、评价、认证机制，双方合作培训、考核与认证。</w:t>
      </w:r>
    </w:p>
    <w:p>
      <w:pPr>
        <w:rPr>
          <w:sz w:val="32"/>
          <w:szCs w:val="32"/>
        </w:rPr>
      </w:pPr>
      <w:r>
        <w:rPr>
          <w:rFonts w:ascii="宋体" w:hAnsi="宋体" w:eastAsia="宋体" w:cs="宋体"/>
          <w:sz w:val="24"/>
        </w:rPr>
        <w:drawing>
          <wp:inline distT="0" distB="0" distL="114300" distR="114300">
            <wp:extent cx="5273040" cy="2959100"/>
            <wp:effectExtent l="0" t="0" r="3810" b="12700"/>
            <wp:docPr id="32" name="图片 32" descr="lADPDgQ9rORdb4vNBpjNC8A_3008_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lADPDgQ9rORdb4vNBpjNC8A_3008_1688"/>
                    <pic:cNvPicPr>
                      <a:picLocks noChangeAspect="1"/>
                    </pic:cNvPicPr>
                  </pic:nvPicPr>
                  <pic:blipFill>
                    <a:blip r:embed="rId39"/>
                    <a:stretch>
                      <a:fillRect/>
                    </a:stretch>
                  </pic:blipFill>
                  <pic:spPr>
                    <a:xfrm>
                      <a:off x="0" y="0"/>
                      <a:ext cx="5273040" cy="2959100"/>
                    </a:xfrm>
                    <a:prstGeom prst="rect">
                      <a:avLst/>
                    </a:prstGeom>
                  </pic:spPr>
                </pic:pic>
              </a:graphicData>
            </a:graphic>
          </wp:inline>
        </w:drawing>
      </w:r>
    </w:p>
    <w:p>
      <w:pPr>
        <w:jc w:val="center"/>
        <w:rPr>
          <w:sz w:val="32"/>
          <w:szCs w:val="32"/>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4</w:t>
      </w:r>
      <w:r>
        <w:rPr>
          <w:rFonts w:hint="eastAsia" w:ascii="仿宋" w:hAnsi="仿宋" w:eastAsia="仿宋"/>
          <w:b/>
          <w:color w:val="C55A11" w:themeColor="accent2" w:themeShade="BF"/>
          <w:sz w:val="24"/>
          <w:szCs w:val="24"/>
        </w:rPr>
        <w:t>：</w:t>
      </w:r>
      <w:r>
        <w:rPr>
          <w:rFonts w:hint="eastAsia" w:ascii="仿宋" w:hAnsi="仿宋" w:eastAsia="仿宋"/>
          <w:b/>
          <w:sz w:val="24"/>
          <w:szCs w:val="24"/>
        </w:rPr>
        <w:t>吉林大药房现代学徒制班奖学金发放仪式现场</w:t>
      </w:r>
    </w:p>
    <w:p>
      <w:pPr>
        <w:pStyle w:val="3"/>
      </w:pPr>
      <w:bookmarkStart w:id="29" w:name="_Toc28254447"/>
      <w:bookmarkStart w:id="30" w:name="_Toc14632"/>
      <w:r>
        <w:rPr>
          <w:rFonts w:hint="eastAsia"/>
        </w:rPr>
        <w:t>2</w:t>
      </w:r>
      <w:r>
        <w:t>.3 教学资源</w:t>
      </w:r>
      <w:bookmarkEnd w:id="29"/>
      <w:bookmarkEnd w:id="30"/>
    </w:p>
    <w:p>
      <w:pPr>
        <w:widowControl/>
        <w:spacing w:line="600" w:lineRule="exact"/>
        <w:ind w:firstLine="640" w:firstLineChars="200"/>
        <w:rPr>
          <w:rFonts w:ascii="Times New Roman" w:hAnsi="Times New Roman" w:cs="Times New Roman"/>
          <w:sz w:val="32"/>
          <w:szCs w:val="32"/>
        </w:rPr>
      </w:pPr>
      <w:r>
        <w:rPr>
          <w:rFonts w:ascii="Times New Roman" w:hAnsi="Times New Roman" w:cs="Times New Roman"/>
          <w:sz w:val="32"/>
          <w:szCs w:val="32"/>
        </w:rPr>
        <w:t>实施精品资源共享课程建设。积极引进智慧树网等教育平台，引进200多门公共选修课程，开通网络学习空间。实施线上线下混合课程建设，在全院建设混合课程12门。现拥有自治区精品课程13门。</w:t>
      </w:r>
    </w:p>
    <w:p>
      <w:pPr>
        <w:widowControl/>
        <w:spacing w:line="600" w:lineRule="exact"/>
        <w:ind w:firstLine="640" w:firstLineChars="200"/>
        <w:rPr>
          <w:rFonts w:ascii="Times New Roman" w:hAnsi="Times New Roman" w:cs="Times New Roman"/>
          <w:sz w:val="32"/>
          <w:szCs w:val="32"/>
        </w:rPr>
      </w:pPr>
      <w:r>
        <w:rPr>
          <w:rFonts w:ascii="Times New Roman" w:hAnsi="Times New Roman" w:cs="Times New Roman"/>
          <w:sz w:val="32"/>
          <w:szCs w:val="32"/>
        </w:rPr>
        <w:t>扩大课程资源，积极探索利用MOOC平台、网络在线课程平台、国家开发大学、哈尔滨医科大学、内蒙古民族大学、内蒙古医科大学等课程资源，创新信息化教学与学习方式。完善学院教学管理平台及选课系统。适应学生课程修读需要，积极增加课程数量，建设优质信息化教育教学资源。</w:t>
      </w:r>
    </w:p>
    <w:p>
      <w:pPr>
        <w:autoSpaceDE w:val="0"/>
        <w:autoSpaceDN w:val="0"/>
        <w:adjustRightInd w:val="0"/>
        <w:spacing w:line="600" w:lineRule="exact"/>
        <w:ind w:firstLine="640" w:firstLineChars="200"/>
        <w:rPr>
          <w:rFonts w:ascii="Times New Roman" w:hAnsi="Times New Roman" w:cs="Times New Roman"/>
          <w:sz w:val="32"/>
          <w:szCs w:val="32"/>
        </w:rPr>
      </w:pPr>
      <w:r>
        <w:rPr>
          <w:rFonts w:ascii="Times New Roman" w:hAnsi="Times New Roman" w:cs="Times New Roman"/>
          <w:color w:val="231F20"/>
          <w:kern w:val="0"/>
          <w:sz w:val="32"/>
          <w:szCs w:val="32"/>
        </w:rPr>
        <w:t>根据学生职业素养和就业岗位需要，精心选订优质教材。突出职业教育特点，以加强实践教学为主，2018年</w:t>
      </w:r>
      <w:r>
        <w:rPr>
          <w:rFonts w:ascii="Times New Roman" w:hAnsi="Times New Roman" w:cs="Times New Roman"/>
          <w:sz w:val="32"/>
          <w:szCs w:val="32"/>
        </w:rPr>
        <w:t>举办了学院首届优质教材展示会，邀请了16家国内一流出版社和知名高校出版社参与展会。共展出涵盖我院各专业、各学科的“十二五”“十三五”规划教材及各出版社最新教材、数字化教材1200余册。建设、配备与专业相关的音视频素材、教学课件、虚拟仿真软件等专业教学资源库，种类丰富、形式多样、使用便捷、动态更新、满足教学。</w:t>
      </w:r>
    </w:p>
    <w:p>
      <w:pPr>
        <w:widowControl/>
        <w:spacing w:line="600" w:lineRule="exact"/>
        <w:ind w:firstLine="640" w:firstLineChars="200"/>
        <w:rPr>
          <w:rFonts w:ascii="Times New Roman" w:hAnsi="Times New Roman" w:cs="Times New Roman"/>
          <w:sz w:val="32"/>
          <w:szCs w:val="32"/>
        </w:rPr>
      </w:pPr>
      <w:r>
        <w:rPr>
          <w:rFonts w:ascii="Times New Roman" w:hAnsi="Times New Roman" w:cs="Times New Roman"/>
          <w:sz w:val="32"/>
          <w:szCs w:val="32"/>
        </w:rPr>
        <w:t>学院建有“蒙药专家工作室”、“科尔沁版画工作室”“自治区职工科技创新工作室”、“思政名师工作室”大师工作室等，拥有自治区教学名师</w:t>
      </w:r>
      <w:r>
        <w:rPr>
          <w:rFonts w:hint="eastAsia" w:ascii="Times New Roman" w:hAnsi="Times New Roman" w:cs="Times New Roman"/>
          <w:sz w:val="32"/>
          <w:szCs w:val="32"/>
        </w:rPr>
        <w:t>7</w:t>
      </w:r>
      <w:r>
        <w:rPr>
          <w:rFonts w:ascii="Times New Roman" w:hAnsi="Times New Roman" w:cs="Times New Roman"/>
          <w:sz w:val="32"/>
          <w:szCs w:val="32"/>
        </w:rPr>
        <w:t>人、教坛新秀3人、教学团队7个。</w:t>
      </w:r>
    </w:p>
    <w:p>
      <w:pPr>
        <w:widowControl/>
        <w:spacing w:line="600" w:lineRule="exact"/>
        <w:ind w:firstLine="640" w:firstLineChars="200"/>
        <w:rPr>
          <w:rFonts w:ascii="Times New Roman" w:hAnsi="Times New Roman" w:cs="Times New Roman"/>
          <w:color w:val="231F20"/>
          <w:kern w:val="0"/>
          <w:sz w:val="32"/>
          <w:szCs w:val="32"/>
        </w:rPr>
      </w:pPr>
      <w:r>
        <w:rPr>
          <w:rFonts w:ascii="Times New Roman" w:hAnsi="Times New Roman" w:cs="Times New Roman"/>
          <w:color w:val="231F20"/>
          <w:kern w:val="0"/>
          <w:sz w:val="32"/>
          <w:szCs w:val="32"/>
        </w:rPr>
        <w:t>依托自治区级品牌专业建设，2018年投入1400余万元，建成有急救护理实训室、口腔护理实训室、模拟ICU病房、中药标本馆、汽车发动机理实一体化实训室、汽车整车理实一体化实训室等，为学生认识实习、生产实习、安全演练等提供一个生动逼真的训练平台。</w:t>
      </w:r>
    </w:p>
    <w:p>
      <w:pPr>
        <w:widowControl/>
        <w:spacing w:line="600" w:lineRule="exact"/>
        <w:jc w:val="left"/>
        <w:rPr>
          <w:rFonts w:ascii="仿宋" w:hAnsi="仿宋" w:eastAsia="仿宋"/>
          <w:color w:val="C55A11" w:themeColor="accent2" w:themeShade="BF"/>
          <w:sz w:val="32"/>
          <w:szCs w:val="32"/>
        </w:rPr>
      </w:pPr>
      <w:r>
        <w:rPr>
          <w:rFonts w:ascii="仿宋" w:hAnsi="仿宋" w:eastAsia="仿宋"/>
          <w:color w:val="C55A11" w:themeColor="accent2" w:themeShade="BF"/>
          <w:sz w:val="32"/>
          <w:szCs w:val="32"/>
        </w:rPr>
        <w:t>【案例13】</w:t>
      </w:r>
      <w:r>
        <w:rPr>
          <w:rFonts w:hint="eastAsia" w:ascii="仿宋" w:hAnsi="仿宋" w:eastAsia="仿宋"/>
          <w:color w:val="C55A11" w:themeColor="accent2" w:themeShade="BF"/>
          <w:sz w:val="32"/>
          <w:szCs w:val="32"/>
        </w:rPr>
        <w:t>护理</w:t>
      </w:r>
      <w:r>
        <w:rPr>
          <w:rFonts w:ascii="仿宋" w:hAnsi="仿宋" w:eastAsia="仿宋"/>
          <w:color w:val="C55A11" w:themeColor="accent2" w:themeShade="BF"/>
          <w:sz w:val="32"/>
          <w:szCs w:val="32"/>
        </w:rPr>
        <w:t>实训</w:t>
      </w:r>
      <w:r>
        <w:rPr>
          <w:rFonts w:hint="eastAsia" w:ascii="仿宋" w:hAnsi="仿宋" w:eastAsia="仿宋"/>
          <w:color w:val="C55A11" w:themeColor="accent2" w:themeShade="BF"/>
          <w:sz w:val="32"/>
          <w:szCs w:val="32"/>
        </w:rPr>
        <w:t>结硕果 技能大赛传捷报</w:t>
      </w:r>
    </w:p>
    <w:p>
      <w:pPr>
        <w:widowControl/>
        <w:spacing w:line="600" w:lineRule="exact"/>
        <w:ind w:firstLine="630" w:firstLineChars="300"/>
        <w:rPr>
          <w:rFonts w:ascii="Times New Roman" w:cs="Times New Roman" w:hAnsiTheme="minorEastAsia"/>
          <w:color w:val="C00000"/>
          <w:sz w:val="32"/>
          <w:szCs w:val="32"/>
        </w:rPr>
      </w:pPr>
      <w:r>
        <w:drawing>
          <wp:anchor distT="0" distB="0" distL="114300" distR="114300" simplePos="0" relativeHeight="251678720" behindDoc="0" locked="0" layoutInCell="1" allowOverlap="1">
            <wp:simplePos x="0" y="0"/>
            <wp:positionH relativeFrom="margin">
              <wp:align>left</wp:align>
            </wp:positionH>
            <wp:positionV relativeFrom="paragraph">
              <wp:posOffset>2387600</wp:posOffset>
            </wp:positionV>
            <wp:extent cx="5266690" cy="4095750"/>
            <wp:effectExtent l="0" t="0" r="0" b="0"/>
            <wp:wrapThrough wrapText="bothSides">
              <wp:wrapPolygon>
                <wp:start x="0" y="0"/>
                <wp:lineTo x="0" y="21500"/>
                <wp:lineTo x="21485" y="21500"/>
                <wp:lineTo x="21485" y="0"/>
                <wp:lineTo x="0" y="0"/>
              </wp:wrapPolygon>
            </wp:wrapThrough>
            <wp:docPr id="33" name="图片 33" descr="lADPDgQ9rZDjxqfNBDjNBaA_1440_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ADPDgQ9rZDjxqfNBDjNBaA_1440_1080"/>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266690" cy="4095750"/>
                    </a:xfrm>
                    <a:prstGeom prst="rect">
                      <a:avLst/>
                    </a:prstGeom>
                  </pic:spPr>
                </pic:pic>
              </a:graphicData>
            </a:graphic>
          </wp:anchor>
        </w:drawing>
      </w:r>
      <w:r>
        <w:rPr>
          <w:rFonts w:hint="eastAsia" w:ascii="Times New Roman" w:hAnsi="仿宋" w:eastAsia="仿宋" w:cs="Times New Roman"/>
          <w:sz w:val="32"/>
          <w:szCs w:val="32"/>
        </w:rPr>
        <w:t>护理专业建有急救护理实训室、基础护理实训室、外科护理实训室、内科护理实训室等33个专业实训室。截至2018年，实训基地面积增加至4000平方米，设备总值达988万元，实训工位数0.64个。依托平台，三年共为社会培训</w:t>
      </w:r>
      <w:r>
        <w:rPr>
          <w:rFonts w:hint="eastAsia" w:ascii="Times New Roman" w:cs="Times New Roman" w:hAnsiTheme="minorEastAsia"/>
          <w:bCs/>
          <w:sz w:val="32"/>
          <w:szCs w:val="32"/>
        </w:rPr>
        <w:t>9</w:t>
      </w:r>
      <w:r>
        <w:rPr>
          <w:rFonts w:ascii="Times New Roman" w:cs="Times New Roman" w:hAnsiTheme="minorEastAsia"/>
          <w:bCs/>
          <w:sz w:val="32"/>
          <w:szCs w:val="32"/>
        </w:rPr>
        <w:t>10</w:t>
      </w:r>
      <w:r>
        <w:rPr>
          <w:rFonts w:hint="eastAsia" w:ascii="Times New Roman" w:hAnsi="仿宋" w:eastAsia="仿宋" w:cs="Times New Roman"/>
          <w:sz w:val="32"/>
          <w:szCs w:val="32"/>
        </w:rPr>
        <w:t>人次。2018年，学生获得自治区护理技能大赛一等奖1人、二等奖2人、三等奖1人。</w:t>
      </w:r>
    </w:p>
    <w:p>
      <w:pPr>
        <w:widowControl/>
        <w:spacing w:line="600" w:lineRule="exact"/>
        <w:jc w:val="center"/>
        <w:rPr>
          <w:rFonts w:ascii="Times New Roman" w:cs="Times New Roman" w:hAnsiTheme="minorEastAsia"/>
          <w:color w:val="C00000"/>
          <w:sz w:val="32"/>
          <w:szCs w:val="32"/>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5</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学院护理系学生获自治区高职院护理技能大赛一等奖</w:t>
      </w:r>
    </w:p>
    <w:p>
      <w:pPr>
        <w:widowControl/>
        <w:spacing w:line="600" w:lineRule="exact"/>
        <w:jc w:val="left"/>
      </w:pPr>
      <w:r>
        <w:rPr>
          <w:rFonts w:ascii="仿宋" w:hAnsi="仿宋" w:eastAsia="仿宋"/>
          <w:color w:val="C55A11" w:themeColor="accent2" w:themeShade="BF"/>
          <w:sz w:val="32"/>
          <w:szCs w:val="32"/>
        </w:rPr>
        <w:t>【案例14】</w:t>
      </w:r>
      <w:r>
        <w:rPr>
          <w:rFonts w:hint="eastAsia" w:ascii="仿宋" w:hAnsi="仿宋" w:eastAsia="仿宋"/>
          <w:color w:val="C55A11" w:themeColor="accent2" w:themeShade="BF"/>
          <w:sz w:val="32"/>
          <w:szCs w:val="32"/>
        </w:rPr>
        <w:t>汽车</w:t>
      </w:r>
      <w:r>
        <w:rPr>
          <w:rFonts w:ascii="仿宋" w:hAnsi="仿宋" w:eastAsia="仿宋"/>
          <w:color w:val="C55A11" w:themeColor="accent2" w:themeShade="BF"/>
          <w:sz w:val="32"/>
          <w:szCs w:val="32"/>
        </w:rPr>
        <w:t>实训平台产生示范效应</w:t>
      </w:r>
    </w:p>
    <w:p>
      <w:pPr>
        <w:widowControl/>
        <w:spacing w:line="600" w:lineRule="exact"/>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学院近三年向新能源汽车技术专业投资近770万元，改造实训中心、购置新能源汽车教学设备、学生技能大赛设备，极大提升了实训教学能力。凭借全区先进的教学设备，大力推广理实一体化教学模式，并在此基础上不断将教学改革向纵深推进，提出基于项目化教学、以任务为导向的教学方法，将虚拟软件、理论知识整合、课程目标、实际案例、实践操作有机结合，提升了教学成效。</w:t>
      </w:r>
    </w:p>
    <w:p>
      <w:pPr>
        <w:widowControl/>
        <w:spacing w:line="600" w:lineRule="exact"/>
        <w:ind w:firstLine="640" w:firstLineChars="200"/>
        <w:rPr>
          <w:rFonts w:ascii="Times New Roman" w:hAnsi="仿宋" w:eastAsia="仿宋" w:cs="Times New Roman"/>
          <w:sz w:val="32"/>
          <w:szCs w:val="32"/>
        </w:rPr>
      </w:pPr>
      <w:r>
        <w:rPr>
          <w:rFonts w:hint="eastAsia" w:ascii="Times New Roman" w:hAnsi="仿宋" w:eastAsia="仿宋" w:cs="Times New Roman"/>
          <w:sz w:val="32"/>
          <w:szCs w:val="32"/>
        </w:rPr>
        <w:t>2019年，通过深刻学习领会职教二十条文件精神，将“新技术、新工艺、新规范”引进课堂，对标岗位需求，将汽车企业“标准工艺卡”管理方式融合进实训教学，</w:t>
      </w:r>
      <w:r>
        <w:rPr>
          <w:rFonts w:ascii="Times New Roman" w:hAnsi="仿宋" w:eastAsia="仿宋" w:cs="Times New Roman"/>
          <w:sz w:val="32"/>
          <w:szCs w:val="32"/>
        </w:rPr>
        <w:t>打造《汽车发动机检修》校本教材，</w:t>
      </w:r>
      <w:r>
        <w:rPr>
          <w:rFonts w:hint="eastAsia" w:ascii="Times New Roman" w:hAnsi="仿宋" w:eastAsia="仿宋" w:cs="Times New Roman"/>
          <w:sz w:val="32"/>
          <w:szCs w:val="32"/>
        </w:rPr>
        <w:t>目前已完成发动机拆装部分的工艺卡制作和验证工作。《汽车构造》课程为院级立项建设在线开放课程。</w:t>
      </w:r>
    </w:p>
    <w:p>
      <w:pPr>
        <w:ind w:firstLine="640" w:firstLineChars="200"/>
        <w:rPr>
          <w:rFonts w:ascii="Times New Roman" w:cs="Times New Roman" w:hAnsiTheme="minorEastAsia"/>
          <w:color w:val="C00000"/>
          <w:sz w:val="32"/>
          <w:szCs w:val="32"/>
        </w:rPr>
      </w:pPr>
      <w:r>
        <w:rPr>
          <w:rFonts w:hint="eastAsia" w:ascii="Times New Roman" w:hAnsi="仿宋" w:eastAsia="仿宋" w:cs="Times New Roman"/>
          <w:sz w:val="32"/>
          <w:szCs w:val="32"/>
        </w:rPr>
        <w:t>在以推广理实一体化教学为主线的教学质量提升工程中，师生在各级各类大赛中喜获丰收：2019年自治区高职学生技能大赛二等奖、2018年自治区高等职业院校技能大赛三等奖、学院首届“青蓝工程”教学技能大赛二等奖、第八届青年教师教学技能大赛二等奖等。</w:t>
      </w:r>
    </w:p>
    <w:p>
      <w:pPr>
        <w:rPr>
          <w:sz w:val="32"/>
          <w:szCs w:val="32"/>
        </w:rPr>
      </w:pPr>
      <w:r>
        <w:drawing>
          <wp:inline distT="0" distB="0" distL="114300" distR="114300">
            <wp:extent cx="5264785" cy="3867150"/>
            <wp:effectExtent l="0" t="0" r="0" b="0"/>
            <wp:docPr id="34" name="图片 3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
                    <pic:cNvPicPr>
                      <a:picLocks noChangeAspect="1"/>
                    </pic:cNvPicPr>
                  </pic:nvPicPr>
                  <pic:blipFill>
                    <a:blip r:embed="rId41"/>
                    <a:stretch>
                      <a:fillRect/>
                    </a:stretch>
                  </pic:blipFill>
                  <pic:spPr>
                    <a:xfrm>
                      <a:off x="0" y="0"/>
                      <a:ext cx="5264785" cy="3867150"/>
                    </a:xfrm>
                    <a:prstGeom prst="rect">
                      <a:avLst/>
                    </a:prstGeom>
                  </pic:spPr>
                </pic:pic>
              </a:graphicData>
            </a:graphic>
          </wp:inline>
        </w:drawing>
      </w:r>
    </w:p>
    <w:p>
      <w:pPr>
        <w:jc w:val="center"/>
        <w:rPr>
          <w:sz w:val="32"/>
          <w:szCs w:val="32"/>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6</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学院机电工程系理实一体化课堂</w:t>
      </w:r>
    </w:p>
    <w:p>
      <w:pPr>
        <w:pStyle w:val="3"/>
      </w:pPr>
      <w:bookmarkStart w:id="31" w:name="_Toc32746"/>
      <w:bookmarkStart w:id="32" w:name="_Toc28254448"/>
      <w:r>
        <w:rPr>
          <w:rFonts w:hint="eastAsia"/>
        </w:rPr>
        <w:t>2</w:t>
      </w:r>
      <w:r>
        <w:t>.4 教学信息化</w:t>
      </w:r>
      <w:bookmarkEnd w:id="31"/>
      <w:bookmarkEnd w:id="32"/>
    </w:p>
    <w:p>
      <w:pPr>
        <w:suppressAutoHyphens/>
        <w:spacing w:line="600" w:lineRule="exact"/>
        <w:ind w:firstLine="640" w:firstLineChars="200"/>
        <w:rPr>
          <w:rFonts w:ascii="Times New Roman" w:hAnsi="Times New Roman" w:cs="Times New Roman"/>
          <w:sz w:val="32"/>
          <w:szCs w:val="32"/>
        </w:rPr>
      </w:pPr>
      <w:r>
        <w:rPr>
          <w:rFonts w:ascii="Times New Roman" w:hAnsi="Times New Roman" w:cs="Times New Roman"/>
          <w:color w:val="231F20"/>
          <w:kern w:val="0"/>
          <w:sz w:val="32"/>
          <w:szCs w:val="32"/>
        </w:rPr>
        <w:t>推进信息技术与教育教学的融合，以网络为引擎</w:t>
      </w:r>
      <w:r>
        <w:rPr>
          <w:rFonts w:hint="eastAsia" w:ascii="Times New Roman" w:hAnsi="Times New Roman" w:cs="Times New Roman"/>
          <w:color w:val="231F20"/>
          <w:kern w:val="0"/>
          <w:sz w:val="32"/>
          <w:szCs w:val="32"/>
        </w:rPr>
        <w:t>，</w:t>
      </w:r>
      <w:r>
        <w:rPr>
          <w:rFonts w:ascii="Times New Roman" w:hAnsi="Times New Roman" w:cs="Times New Roman"/>
          <w:color w:val="231F20"/>
          <w:kern w:val="0"/>
          <w:sz w:val="32"/>
          <w:szCs w:val="32"/>
        </w:rPr>
        <w:t>为课堂教学注入新的生机，发挥教学活动中“线下”和“线上”的各自优势，从简入繁，逐步推广，探索线上线下混合式教学新模式，培养学生自我学习、自我发展能力，提升人才培养质量。</w:t>
      </w:r>
      <w:r>
        <w:rPr>
          <w:rFonts w:ascii="Times New Roman" w:hAnsi="Times New Roman" w:cs="Times New Roman"/>
          <w:sz w:val="32"/>
          <w:szCs w:val="32"/>
        </w:rPr>
        <w:t>学院投资近200万元购置教学管理系统，建立信息化教学管理网络，改革教学管理方法和管理手段。</w:t>
      </w:r>
      <w:r>
        <w:rPr>
          <w:rFonts w:hint="eastAsia" w:ascii="Times New Roman" w:hAnsi="Times New Roman" w:cs="Times New Roman"/>
          <w:sz w:val="32"/>
          <w:szCs w:val="32"/>
        </w:rPr>
        <w:t>初步实现了教学、管理、服务的信息化和智能化。完成教务管理系统与钉钉平台对接，实现全院师生使用手机登录钉钉即可查课表、查成绩、调停课等功能。</w:t>
      </w:r>
      <w:r>
        <w:rPr>
          <w:rFonts w:ascii="Times New Roman" w:hAnsi="Times New Roman" w:cs="Times New Roman"/>
          <w:sz w:val="32"/>
          <w:szCs w:val="32"/>
        </w:rPr>
        <w:t>通过引进网络学习空间客户端、教学资源库平台客户端，构建一个能让学生随时随地获取个性化学习资源，“时时可学，处处可学”的学生学习新模式，初步实现从以教为中心向以学为中心转变</w:t>
      </w:r>
      <w:r>
        <w:rPr>
          <w:rFonts w:hint="eastAsia" w:ascii="Times New Roman" w:hAnsi="Times New Roman" w:cs="Times New Roman"/>
          <w:sz w:val="32"/>
          <w:szCs w:val="32"/>
        </w:rPr>
        <w:t>、</w:t>
      </w:r>
      <w:r>
        <w:rPr>
          <w:rFonts w:ascii="Times New Roman" w:hAnsi="Times New Roman" w:cs="Times New Roman"/>
          <w:sz w:val="32"/>
          <w:szCs w:val="32"/>
        </w:rPr>
        <w:t>课堂学习为主向混合学习为主转变</w:t>
      </w:r>
      <w:r>
        <w:rPr>
          <w:rFonts w:hint="eastAsia" w:ascii="Times New Roman" w:hAnsi="Times New Roman" w:cs="Times New Roman"/>
          <w:sz w:val="32"/>
          <w:szCs w:val="32"/>
        </w:rPr>
        <w:t>、</w:t>
      </w:r>
      <w:r>
        <w:rPr>
          <w:rFonts w:ascii="Times New Roman" w:hAnsi="Times New Roman" w:cs="Times New Roman"/>
          <w:sz w:val="32"/>
          <w:szCs w:val="32"/>
        </w:rPr>
        <w:t>标准化培养向个性化培养的转变。</w:t>
      </w:r>
    </w:p>
    <w:p>
      <w:pPr>
        <w:pStyle w:val="10"/>
        <w:shd w:val="clear" w:color="auto" w:fill="FFFFFF"/>
        <w:suppressAutoHyphens/>
        <w:spacing w:before="0" w:beforeAutospacing="0" w:after="0" w:afterAutospacing="0" w:line="600" w:lineRule="exact"/>
        <w:ind w:firstLine="640" w:firstLineChars="200"/>
        <w:jc w:val="both"/>
        <w:rPr>
          <w:rFonts w:ascii="Times New Roman" w:hAnsi="Times New Roman" w:cs="Times New Roman"/>
          <w:kern w:val="2"/>
          <w:sz w:val="32"/>
          <w:szCs w:val="32"/>
        </w:rPr>
      </w:pPr>
      <w:r>
        <w:rPr>
          <w:rFonts w:ascii="Times New Roman" w:hAnsi="Times New Roman" w:cs="Times New Roman"/>
          <w:kern w:val="2"/>
          <w:sz w:val="32"/>
          <w:szCs w:val="32"/>
        </w:rPr>
        <w:t>提升教师的教学设计能力、教学内容组织和序化能力、信息化教学手段应用能力，面向全院教师每年开展校内信息化培训2次；派出教师 10余人次，参加全国及</w:t>
      </w:r>
      <w:r>
        <w:rPr>
          <w:rFonts w:hint="eastAsia" w:ascii="Times New Roman" w:hAnsi="Times New Roman" w:cs="Times New Roman"/>
          <w:kern w:val="2"/>
          <w:sz w:val="32"/>
          <w:szCs w:val="32"/>
        </w:rPr>
        <w:t>内蒙古</w:t>
      </w:r>
      <w:r>
        <w:rPr>
          <w:rFonts w:ascii="Times New Roman" w:hAnsi="Times New Roman" w:cs="Times New Roman"/>
          <w:kern w:val="2"/>
          <w:sz w:val="32"/>
          <w:szCs w:val="32"/>
        </w:rPr>
        <w:t>自治区高质量的信息化培训。采取学校购买教师教学资源等形式，激励教师开发线上教学资源，多措并举提升教师信息化教学能力。支持和鼓励教师参加信息化教学大赛。</w:t>
      </w:r>
    </w:p>
    <w:p>
      <w:pPr>
        <w:widowControl/>
        <w:spacing w:line="600" w:lineRule="exact"/>
        <w:jc w:val="center"/>
        <w:rPr>
          <w:rFonts w:ascii="仿宋" w:hAnsi="仿宋" w:eastAsia="仿宋" w:cs="Times New Roman"/>
          <w:b/>
          <w:sz w:val="24"/>
          <w:szCs w:val="24"/>
        </w:rPr>
      </w:pPr>
      <w:r>
        <w:rPr>
          <w:rFonts w:hint="eastAsia" w:ascii="仿宋" w:hAnsi="仿宋" w:eastAsia="仿宋" w:cs="Times New Roman"/>
          <w:b/>
          <w:color w:val="231F20"/>
          <w:kern w:val="0"/>
          <w:sz w:val="24"/>
          <w:szCs w:val="24"/>
        </w:rPr>
        <w:t>表2-1 2018年度学院教师在信息化教学大赛中的获奖情况</w:t>
      </w:r>
    </w:p>
    <w:tbl>
      <w:tblPr>
        <w:tblStyle w:val="11"/>
        <w:tblW w:w="8642" w:type="dxa"/>
        <w:tblInd w:w="0" w:type="dxa"/>
        <w:tblLayout w:type="fixed"/>
        <w:tblCellMar>
          <w:top w:w="0" w:type="dxa"/>
          <w:left w:w="108" w:type="dxa"/>
          <w:bottom w:w="0" w:type="dxa"/>
          <w:right w:w="108" w:type="dxa"/>
        </w:tblCellMar>
      </w:tblPr>
      <w:tblGrid>
        <w:gridCol w:w="4780"/>
        <w:gridCol w:w="1215"/>
        <w:gridCol w:w="1652"/>
        <w:gridCol w:w="995"/>
      </w:tblGrid>
      <w:tr>
        <w:tblPrEx>
          <w:tblLayout w:type="fixed"/>
          <w:tblCellMar>
            <w:top w:w="0" w:type="dxa"/>
            <w:left w:w="108" w:type="dxa"/>
            <w:bottom w:w="0" w:type="dxa"/>
            <w:right w:w="108" w:type="dxa"/>
          </w:tblCellMar>
        </w:tblPrEx>
        <w:trPr>
          <w:trHeight w:val="40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项目名称</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获奖人</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获奖等级</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级别</w:t>
            </w:r>
          </w:p>
        </w:tc>
      </w:tr>
      <w:tr>
        <w:tblPrEx>
          <w:tblLayout w:type="fixed"/>
          <w:tblCellMar>
            <w:top w:w="0" w:type="dxa"/>
            <w:left w:w="108" w:type="dxa"/>
            <w:bottom w:w="0" w:type="dxa"/>
            <w:right w:w="108" w:type="dxa"/>
          </w:tblCellMar>
        </w:tblPrEx>
        <w:trPr>
          <w:trHeight w:val="40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2018年内蒙古自治区高等职业院校技能大赛教学能力比赛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刘天博</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三等奖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0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2018年内蒙古自治区高等职业院校技能大赛教学能力比赛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关经纬</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三等奖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2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2018年内蒙古自治区高等职业院校技能大赛教学能力比赛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刘晓娟</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三等奖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2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2018年内蒙古自治区高等职业院校技能大赛教学能力比赛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韩托莎</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三等奖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2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2018年内蒙古自治区高等职业院校技能大赛教学能力比赛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青龙</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三等奖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2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2018年内蒙古自治区高等职业院校技能大赛教学能力比赛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李建颖</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三等奖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2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全区高校思政课程教学技能大赛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吴前德门</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精品教案奖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r>
        <w:tblPrEx>
          <w:tblLayout w:type="fixed"/>
          <w:tblCellMar>
            <w:top w:w="0" w:type="dxa"/>
            <w:left w:w="108" w:type="dxa"/>
            <w:bottom w:w="0" w:type="dxa"/>
            <w:right w:w="108" w:type="dxa"/>
          </w:tblCellMar>
        </w:tblPrEx>
        <w:trPr>
          <w:trHeight w:val="428" w:hRule="atLeast"/>
        </w:trPr>
        <w:tc>
          <w:tcPr>
            <w:tcW w:w="4780"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全区高校思政课程教学技能大赛</w:t>
            </w:r>
          </w:p>
        </w:tc>
        <w:tc>
          <w:tcPr>
            <w:tcW w:w="121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李慧</w:t>
            </w:r>
          </w:p>
        </w:tc>
        <w:tc>
          <w:tcPr>
            <w:tcW w:w="1652"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精品教案奖</w:t>
            </w:r>
          </w:p>
        </w:tc>
        <w:tc>
          <w:tcPr>
            <w:tcW w:w="995" w:type="dxa"/>
            <w:tcBorders>
              <w:top w:val="single" w:color="000000" w:sz="4" w:space="0"/>
              <w:left w:val="nil"/>
              <w:bottom w:val="single" w:color="000000" w:sz="4" w:space="0"/>
              <w:right w:val="single" w:color="000000" w:sz="4" w:space="0"/>
            </w:tcBorders>
            <w:vAlign w:val="center"/>
          </w:tcPr>
          <w:p>
            <w:pPr>
              <w:widowControl/>
              <w:jc w:val="center"/>
              <w:rPr>
                <w:rFonts w:ascii="仿宋" w:hAnsi="仿宋" w:eastAsia="仿宋" w:cs="Times New Roman"/>
                <w:kern w:val="0"/>
                <w:sz w:val="24"/>
              </w:rPr>
            </w:pPr>
            <w:r>
              <w:rPr>
                <w:rFonts w:hint="eastAsia" w:ascii="仿宋" w:hAnsi="仿宋" w:eastAsia="仿宋" w:cs="Times New Roman"/>
                <w:kern w:val="0"/>
                <w:sz w:val="24"/>
              </w:rPr>
              <w:t>省级</w:t>
            </w:r>
          </w:p>
        </w:tc>
      </w:tr>
    </w:tbl>
    <w:p>
      <w:pPr>
        <w:pStyle w:val="10"/>
        <w:shd w:val="clear" w:color="auto" w:fill="FFFFFF"/>
        <w:suppressAutoHyphens/>
        <w:spacing w:before="0" w:beforeAutospacing="0" w:after="0" w:afterAutospacing="0" w:line="600" w:lineRule="exact"/>
        <w:rPr>
          <w:rFonts w:ascii="仿宋" w:hAnsi="仿宋" w:eastAsia="仿宋"/>
          <w:color w:val="C55A11" w:themeColor="accent2" w:themeShade="BF"/>
          <w:sz w:val="32"/>
          <w:szCs w:val="32"/>
        </w:rPr>
      </w:pPr>
      <w:r>
        <w:rPr>
          <w:rFonts w:ascii="仿宋" w:hAnsi="仿宋" w:eastAsia="仿宋"/>
          <w:color w:val="C55A11" w:themeColor="accent2" w:themeShade="BF"/>
          <w:sz w:val="32"/>
          <w:szCs w:val="32"/>
        </w:rPr>
        <w:t>【案例15】</w:t>
      </w:r>
      <w:r>
        <w:rPr>
          <w:rFonts w:hint="eastAsia" w:ascii="仿宋" w:hAnsi="仿宋" w:eastAsia="仿宋"/>
          <w:color w:val="C55A11" w:themeColor="accent2" w:themeShade="BF"/>
          <w:sz w:val="32"/>
          <w:szCs w:val="32"/>
        </w:rPr>
        <w:t>更新教育理念 推进课程改革</w:t>
      </w:r>
    </w:p>
    <w:p>
      <w:pPr>
        <w:pStyle w:val="10"/>
        <w:shd w:val="clear" w:color="auto" w:fill="FFFFFF"/>
        <w:suppressAutoHyphens/>
        <w:spacing w:before="0" w:beforeAutospacing="0" w:after="0" w:afterAutospacing="0" w:line="600" w:lineRule="exact"/>
        <w:ind w:firstLine="672" w:firstLineChars="200"/>
        <w:jc w:val="both"/>
        <w:rPr>
          <w:rFonts w:ascii="Times New Roman" w:hAnsi="Times New Roman" w:eastAsia="仿宋" w:cs="Times New Roman"/>
          <w:sz w:val="32"/>
          <w:szCs w:val="32"/>
        </w:rPr>
      </w:pPr>
      <w:r>
        <w:rPr>
          <w:rFonts w:ascii="Times New Roman" w:hAnsi="Times New Roman" w:eastAsia="仿宋" w:cs="Times New Roman"/>
          <w:spacing w:val="8"/>
          <w:sz w:val="32"/>
          <w:szCs w:val="32"/>
          <w:shd w:val="clear" w:color="auto" w:fill="FFFFFF"/>
        </w:rPr>
        <w:t>为更新学院教师教育教学理念，提高</w:t>
      </w:r>
      <w:r>
        <w:rPr>
          <w:rFonts w:hint="eastAsia" w:ascii="Times New Roman" w:hAnsi="Times New Roman" w:eastAsia="仿宋" w:cs="Times New Roman"/>
          <w:spacing w:val="8"/>
          <w:sz w:val="32"/>
          <w:szCs w:val="32"/>
          <w:shd w:val="clear" w:color="auto" w:fill="FFFFFF"/>
        </w:rPr>
        <w:t>教学信息化</w:t>
      </w:r>
      <w:r>
        <w:rPr>
          <w:rFonts w:ascii="Times New Roman" w:hAnsi="Times New Roman" w:eastAsia="仿宋" w:cs="Times New Roman"/>
          <w:spacing w:val="8"/>
          <w:sz w:val="32"/>
          <w:szCs w:val="32"/>
          <w:shd w:val="clear" w:color="auto" w:fill="FFFFFF"/>
        </w:rPr>
        <w:t>水平，建设一批内容质量高、教学效果好的在线开放课程</w:t>
      </w:r>
      <w:r>
        <w:rPr>
          <w:rFonts w:hint="eastAsia" w:ascii="Times New Roman" w:hAnsi="Times New Roman" w:eastAsia="仿宋" w:cs="Times New Roman"/>
          <w:spacing w:val="8"/>
          <w:sz w:val="32"/>
          <w:szCs w:val="32"/>
          <w:shd w:val="clear" w:color="auto" w:fill="FFFFFF"/>
        </w:rPr>
        <w:t>。2019年</w:t>
      </w:r>
      <w:r>
        <w:rPr>
          <w:rFonts w:ascii="Times New Roman" w:hAnsi="Times New Roman" w:eastAsia="仿宋" w:cs="Times New Roman"/>
          <w:spacing w:val="8"/>
          <w:sz w:val="32"/>
          <w:szCs w:val="32"/>
          <w:shd w:val="clear" w:color="auto" w:fill="FFFFFF"/>
        </w:rPr>
        <w:t>6月1</w:t>
      </w:r>
      <w:r>
        <w:rPr>
          <w:rFonts w:hint="eastAsia" w:ascii="Times New Roman" w:hAnsi="Times New Roman" w:eastAsia="仿宋" w:cs="Times New Roman"/>
          <w:spacing w:val="8"/>
          <w:sz w:val="32"/>
          <w:szCs w:val="32"/>
          <w:shd w:val="clear" w:color="auto" w:fill="FFFFFF"/>
        </w:rPr>
        <w:t>-</w:t>
      </w:r>
      <w:r>
        <w:rPr>
          <w:rFonts w:ascii="Times New Roman" w:hAnsi="Times New Roman" w:eastAsia="仿宋" w:cs="Times New Roman"/>
          <w:spacing w:val="8"/>
          <w:sz w:val="32"/>
          <w:szCs w:val="32"/>
          <w:shd w:val="clear" w:color="auto" w:fill="FFFFFF"/>
        </w:rPr>
        <w:t>2日，特聘请上海交通大学慕课研究院院长助理余建波教授，利用</w:t>
      </w:r>
      <w:r>
        <w:rPr>
          <w:rFonts w:hint="eastAsia" w:ascii="Times New Roman" w:hAnsi="Times New Roman" w:eastAsia="仿宋" w:cs="Times New Roman"/>
          <w:spacing w:val="8"/>
          <w:sz w:val="32"/>
          <w:szCs w:val="32"/>
          <w:shd w:val="clear" w:color="auto" w:fill="FFFFFF"/>
        </w:rPr>
        <w:t>2</w:t>
      </w:r>
      <w:r>
        <w:rPr>
          <w:rFonts w:ascii="Times New Roman" w:hAnsi="Times New Roman" w:eastAsia="仿宋" w:cs="Times New Roman"/>
          <w:spacing w:val="8"/>
          <w:sz w:val="32"/>
          <w:szCs w:val="32"/>
          <w:shd w:val="clear" w:color="auto" w:fill="FFFFFF"/>
        </w:rPr>
        <w:t>天的时间为学院教师开展了慕课教学设计与应用培训。</w:t>
      </w:r>
      <w:r>
        <w:rPr>
          <w:rFonts w:hint="eastAsia" w:ascii="Times New Roman" w:hAnsi="Times New Roman" w:eastAsia="仿宋" w:cs="Times New Roman"/>
          <w:spacing w:val="8"/>
          <w:sz w:val="32"/>
          <w:szCs w:val="32"/>
          <w:shd w:val="clear" w:color="auto" w:fill="FFFFFF"/>
        </w:rPr>
        <w:t>自治区、</w:t>
      </w:r>
      <w:r>
        <w:rPr>
          <w:rFonts w:hint="eastAsia" w:ascii="Times New Roman" w:hAnsi="Times New Roman" w:eastAsia="仿宋" w:cs="Times New Roman"/>
          <w:sz w:val="32"/>
          <w:szCs w:val="32"/>
        </w:rPr>
        <w:t>学院</w:t>
      </w:r>
      <w:r>
        <w:rPr>
          <w:rFonts w:ascii="Times New Roman" w:hAnsi="Times New Roman" w:eastAsia="仿宋" w:cs="Times New Roman"/>
          <w:sz w:val="32"/>
          <w:szCs w:val="32"/>
        </w:rPr>
        <w:t>两级</w:t>
      </w:r>
      <w:r>
        <w:rPr>
          <w:rFonts w:hint="eastAsia" w:ascii="Times New Roman" w:hAnsi="Times New Roman" w:eastAsia="仿宋" w:cs="Times New Roman"/>
          <w:sz w:val="32"/>
          <w:szCs w:val="32"/>
        </w:rPr>
        <w:t>立项建设</w:t>
      </w:r>
      <w:r>
        <w:rPr>
          <w:rFonts w:ascii="Times New Roman" w:hAnsi="Times New Roman" w:eastAsia="仿宋" w:cs="Times New Roman"/>
          <w:sz w:val="32"/>
          <w:szCs w:val="32"/>
        </w:rPr>
        <w:t>在线开放课程</w:t>
      </w:r>
      <w:r>
        <w:rPr>
          <w:rFonts w:hint="eastAsia" w:ascii="Times New Roman" w:hAnsi="Times New Roman" w:eastAsia="仿宋" w:cs="Times New Roman"/>
          <w:sz w:val="32"/>
          <w:szCs w:val="32"/>
        </w:rPr>
        <w:t>的17个课程团队</w:t>
      </w:r>
      <w:r>
        <w:rPr>
          <w:rFonts w:hint="eastAsia" w:eastAsia="仿宋" w:cs="Times New Roman"/>
          <w:sz w:val="32"/>
          <w:szCs w:val="32"/>
        </w:rPr>
        <w:t>近百人</w:t>
      </w:r>
      <w:r>
        <w:rPr>
          <w:rFonts w:hint="eastAsia" w:ascii="Times New Roman" w:hAnsi="Times New Roman" w:eastAsia="仿宋" w:cs="Times New Roman"/>
          <w:sz w:val="32"/>
          <w:szCs w:val="32"/>
        </w:rPr>
        <w:t>参加培训。余建波教授</w:t>
      </w:r>
      <w:r>
        <w:rPr>
          <w:rFonts w:ascii="Times New Roman" w:hAnsi="Times New Roman" w:eastAsia="仿宋" w:cs="Times New Roman"/>
          <w:sz w:val="32"/>
          <w:szCs w:val="32"/>
        </w:rPr>
        <w:t>从国内外慕课的发展及趋势，</w:t>
      </w:r>
      <w:r>
        <w:rPr>
          <w:rFonts w:hint="eastAsia" w:ascii="Times New Roman" w:hAnsi="Times New Roman" w:eastAsia="仿宋" w:cs="Times New Roman"/>
          <w:sz w:val="32"/>
          <w:szCs w:val="32"/>
        </w:rPr>
        <w:t>到</w:t>
      </w:r>
      <w:r>
        <w:rPr>
          <w:rFonts w:ascii="Times New Roman" w:hAnsi="Times New Roman" w:eastAsia="仿宋" w:cs="Times New Roman"/>
          <w:sz w:val="32"/>
          <w:szCs w:val="32"/>
        </w:rPr>
        <w:t>一门普通课程的设计，拍摄，制作，运行，翻转等方面介绍作为慕课时代的老师应如何对自己的课程进行重构</w:t>
      </w:r>
      <w:r>
        <w:rPr>
          <w:rFonts w:hint="eastAsia" w:ascii="Times New Roman" w:hAnsi="Times New Roman" w:eastAsia="仿宋" w:cs="Times New Roman"/>
          <w:sz w:val="32"/>
          <w:szCs w:val="32"/>
        </w:rPr>
        <w:t>，</w:t>
      </w:r>
      <w:r>
        <w:rPr>
          <w:rFonts w:hint="eastAsia" w:eastAsia="仿宋" w:cs="Times New Roman"/>
          <w:sz w:val="32"/>
          <w:szCs w:val="32"/>
        </w:rPr>
        <w:t>既有理论培训又有实践应用指导</w:t>
      </w:r>
      <w:r>
        <w:rPr>
          <w:rFonts w:ascii="Times New Roman" w:hAnsi="Times New Roman" w:eastAsia="仿宋" w:cs="Times New Roman"/>
          <w:sz w:val="32"/>
          <w:szCs w:val="32"/>
        </w:rPr>
        <w:t>。</w:t>
      </w:r>
      <w:r>
        <w:rPr>
          <w:rFonts w:hint="eastAsia" w:ascii="Times New Roman" w:hAnsi="Times New Roman" w:eastAsia="仿宋" w:cs="Times New Roman"/>
          <w:sz w:val="32"/>
          <w:szCs w:val="32"/>
        </w:rPr>
        <w:t>参加培训的老师积极参与交流与互动，在培训中得到不同程度的提高。</w:t>
      </w:r>
    </w:p>
    <w:p>
      <w:pPr>
        <w:pStyle w:val="23"/>
        <w:tabs>
          <w:tab w:val="left" w:pos="1470"/>
        </w:tabs>
        <w:ind w:firstLine="640"/>
        <w:jc w:val="center"/>
        <w:rPr>
          <w:rFonts w:ascii="Times New Roman" w:hAnsi="Times New Roman" w:eastAsia="仿宋" w:cs="Times New Roman"/>
          <w:sz w:val="32"/>
          <w:szCs w:val="32"/>
        </w:rPr>
      </w:pPr>
      <w:r>
        <w:rPr>
          <w:rFonts w:hint="eastAsia" w:ascii="Times New Roman" w:hAnsi="Times New Roman" w:eastAsia="仿宋" w:cs="Times New Roman"/>
          <w:sz w:val="32"/>
          <w:szCs w:val="32"/>
        </w:rPr>
        <w:drawing>
          <wp:inline distT="0" distB="0" distL="114300" distR="114300">
            <wp:extent cx="4834890" cy="2929255"/>
            <wp:effectExtent l="0" t="0" r="3810" b="4445"/>
            <wp:docPr id="2" name="图片 2" descr="微信图片_2019060116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190601163028"/>
                    <pic:cNvPicPr>
                      <a:picLocks noChangeAspect="1"/>
                    </pic:cNvPicPr>
                  </pic:nvPicPr>
                  <pic:blipFill>
                    <a:blip r:embed="rId42"/>
                    <a:stretch>
                      <a:fillRect/>
                    </a:stretch>
                  </pic:blipFill>
                  <pic:spPr>
                    <a:xfrm>
                      <a:off x="0" y="0"/>
                      <a:ext cx="4834890" cy="2929255"/>
                    </a:xfrm>
                    <a:prstGeom prst="rect">
                      <a:avLst/>
                    </a:prstGeom>
                    <a:noFill/>
                    <a:ln>
                      <a:noFill/>
                    </a:ln>
                  </pic:spPr>
                </pic:pic>
              </a:graphicData>
            </a:graphic>
          </wp:inline>
        </w:drawing>
      </w:r>
    </w:p>
    <w:p>
      <w:pPr>
        <w:jc w:val="center"/>
        <w:rPr>
          <w:sz w:val="32"/>
          <w:szCs w:val="32"/>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7</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学院慕课教学设计与应用培训</w:t>
      </w:r>
    </w:p>
    <w:p>
      <w:pPr>
        <w:pStyle w:val="3"/>
      </w:pPr>
      <w:bookmarkStart w:id="33" w:name="_Toc28254449"/>
      <w:bookmarkStart w:id="34" w:name="_Toc9412"/>
      <w:r>
        <w:rPr>
          <w:rFonts w:hint="eastAsia"/>
        </w:rPr>
        <w:t>2</w:t>
      </w:r>
      <w:r>
        <w:t>.5 教师队伍</w:t>
      </w:r>
      <w:bookmarkEnd w:id="33"/>
      <w:bookmarkEnd w:id="34"/>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学院坚持把教师队伍建设作为提升学院核心竞争力和内涵建设的重要内容，积极实施“人才强校”战略，加大外引内培工作力度，通过优秀人才引进、青年骨干教师培育、新教师教学能力提升、“双师素质”教师培养、优秀团队建设、兼职教师队伍建设等“六项工程”，实现了人才总量逐步增加，结构进一步优化。</w:t>
      </w:r>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学院现有教职工889人，生师比14.47%。其中专任教师429人，校内兼课教师74人，校外聘请教师48人。具有副高以上职称的教师147人，占专任教师总人数的34.27%，具有中级职称的教师157人，占专任教师总人数的36.6%，具有初级职称的教师41人，占专任教师总人数的9.56%。具有博士学位的教师2人，具有硕士研究生学位的教师149人，占专任教师总数的35.2%。“双师素质”教师200人，占专任教师总数的46.62%。</w:t>
      </w:r>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根据《教育部财政部关于实施职业院校教师素质提高计划(2017-2020年)的意见》等文件精神，学院加强制度建设，制定了《专业领军人才、专业带头人和骨干教师选聘管理办法》《“双师素质”教师认定办法》《兼职教师、聘任教师管理制度》《教师进修与培训管理制度》《教师到企业实践暂行规定》《“教师大讲堂”管理办法》等制度，规范了教师管理工作。</w:t>
      </w:r>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积极引进高层次人才，提升教师综合素质。近三年引进高层次人才89人。其中2018年引进的30人中“一流大学”建设高校毕业生4人、全日制硕士研究生26人。</w:t>
      </w:r>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注重教师的培训和能力提升。学院三年投入260多万元用于分层次、分类别组织各类培训项目。本学年全院专任教师参加完成校内外进修、培训及交流总计293人次；启动学院第二期“青蓝工程”工作，共有54对教师结对帮扶，促进青年教师快速成长；组织70场“教师大讲堂”，形成了“互相学习、互相交流、共同进步、共同提高”的良好氛围。</w:t>
      </w:r>
    </w:p>
    <w:p>
      <w:pPr>
        <w:widowControl/>
        <w:spacing w:line="600" w:lineRule="exact"/>
        <w:ind w:firstLine="640" w:firstLineChars="200"/>
        <w:rPr>
          <w:rFonts w:ascii="Times New Roman" w:hAnsi="Times New Roman" w:cs="Times New Roman"/>
          <w:sz w:val="32"/>
          <w:szCs w:val="32"/>
        </w:rPr>
      </w:pPr>
      <w:r>
        <w:rPr>
          <w:rFonts w:hint="eastAsia" w:ascii="Times New Roman" w:hAnsi="Times New Roman" w:cs="Times New Roman"/>
          <w:sz w:val="32"/>
          <w:szCs w:val="32"/>
        </w:rPr>
        <w:t>以“质量工程”为抓手，促进职业能力提升。学院现有自治区“教学名师奖”7人、“教坛新秀奖”3人、优秀教学团队7个；自治区“五一劳动奖章”5人。学院专业领军人才2人、专业（学科）带头人22人、骨干教师 59 人。</w:t>
      </w:r>
    </w:p>
    <w:p>
      <w:pPr>
        <w:pStyle w:val="10"/>
        <w:shd w:val="clear" w:color="auto" w:fill="FFFFFF"/>
        <w:suppressAutoHyphens/>
        <w:spacing w:before="0" w:beforeAutospacing="0" w:after="0" w:afterAutospacing="0" w:line="600" w:lineRule="exact"/>
        <w:rPr>
          <w:rFonts w:ascii="仿宋" w:hAnsi="仿宋" w:eastAsia="仿宋"/>
          <w:color w:val="C55A11" w:themeColor="accent2" w:themeShade="BF"/>
          <w:sz w:val="32"/>
          <w:szCs w:val="32"/>
        </w:rPr>
      </w:pPr>
      <w:r>
        <w:rPr>
          <w:rFonts w:ascii="仿宋" w:hAnsi="仿宋" w:eastAsia="仿宋"/>
          <w:color w:val="C55A11" w:themeColor="accent2" w:themeShade="BF"/>
          <w:sz w:val="32"/>
          <w:szCs w:val="32"/>
        </w:rPr>
        <w:t>【案例16】</w:t>
      </w:r>
      <w:r>
        <w:rPr>
          <w:rFonts w:hint="eastAsia" w:ascii="仿宋" w:hAnsi="仿宋" w:eastAsia="仿宋"/>
          <w:color w:val="C55A11" w:themeColor="accent2" w:themeShade="BF"/>
          <w:sz w:val="32"/>
          <w:szCs w:val="32"/>
        </w:rPr>
        <w:t>取他山之石以攻玉</w:t>
      </w:r>
    </w:p>
    <w:p>
      <w:pPr>
        <w:spacing w:line="600" w:lineRule="exact"/>
        <w:ind w:firstLine="672" w:firstLineChars="200"/>
        <w:rPr>
          <w:rFonts w:ascii="Times New Roman" w:hAnsi="Times New Roman" w:eastAsia="仿宋" w:cs="Times New Roman"/>
          <w:sz w:val="32"/>
          <w:szCs w:val="32"/>
        </w:rPr>
      </w:pPr>
      <w:r>
        <w:rPr>
          <w:rFonts w:ascii="Times New Roman" w:hAnsi="Times New Roman" w:eastAsia="仿宋" w:cs="Times New Roman"/>
          <w:spacing w:val="8"/>
          <w:sz w:val="32"/>
          <w:szCs w:val="32"/>
          <w:shd w:val="clear" w:color="auto" w:fill="FFFFFF"/>
        </w:rPr>
        <w:t>2018年11月</w:t>
      </w:r>
      <w:r>
        <w:rPr>
          <w:rFonts w:ascii="Times New Roman" w:hAnsi="Times New Roman" w:eastAsia="仿宋" w:cs="Times New Roman"/>
          <w:sz w:val="32"/>
          <w:szCs w:val="32"/>
        </w:rPr>
        <w:t>为开拓我院教师的视野，积极汲取先进教育理念和教育管理经验，进一步推进教学改革，提高教学的实效性和课堂教学质量，充分发挥“教学标兵”和教学骨干的示范、引领作用，</w:t>
      </w:r>
      <w:r>
        <w:rPr>
          <w:rFonts w:hint="eastAsia" w:ascii="Times New Roman" w:hAnsi="Times New Roman" w:eastAsia="仿宋" w:cs="Times New Roman"/>
          <w:sz w:val="32"/>
          <w:szCs w:val="32"/>
        </w:rPr>
        <w:t>学院选派</w:t>
      </w:r>
      <w:r>
        <w:rPr>
          <w:rFonts w:ascii="Times New Roman" w:hAnsi="Times New Roman" w:eastAsia="仿宋" w:cs="Times New Roman"/>
          <w:sz w:val="32"/>
          <w:szCs w:val="32"/>
        </w:rPr>
        <w:t>17</w:t>
      </w:r>
      <w:r>
        <w:rPr>
          <w:rFonts w:hint="eastAsia" w:ascii="Times New Roman" w:hAnsi="Times New Roman" w:eastAsia="仿宋" w:cs="Times New Roman"/>
          <w:sz w:val="32"/>
          <w:szCs w:val="32"/>
        </w:rPr>
        <w:t>名专业带头人和骨干教师</w:t>
      </w:r>
      <w:r>
        <w:rPr>
          <w:rFonts w:ascii="Times New Roman" w:hAnsi="Times New Roman" w:eastAsia="仿宋" w:cs="Times New Roman"/>
          <w:sz w:val="32"/>
          <w:szCs w:val="32"/>
        </w:rPr>
        <w:t>，历经一周的时间，先后</w:t>
      </w:r>
      <w:r>
        <w:rPr>
          <w:rFonts w:hint="eastAsia" w:ascii="Times New Roman" w:hAnsi="Times New Roman" w:eastAsia="仿宋" w:cs="Times New Roman"/>
          <w:sz w:val="32"/>
          <w:szCs w:val="32"/>
        </w:rPr>
        <w:t>学习</w:t>
      </w:r>
      <w:r>
        <w:rPr>
          <w:rFonts w:ascii="Times New Roman" w:hAnsi="Times New Roman" w:eastAsia="仿宋" w:cs="Times New Roman"/>
          <w:sz w:val="32"/>
          <w:szCs w:val="32"/>
        </w:rPr>
        <w:t>考察了滨州职业学院、淄博职业学院、烟台职业学院三所高职院校。采取与学习对象一对一结对的学习方式，通过随堂听课、研讨交流、实地考察、收集资料等多种形式对这三所高职院校的教学诊断与改进、学分制管理、现代学徒制、专业建设、课程建设、教师队伍建设、实验室建设与管理、实践教学管理、理实一体化课堂教学改革等方面进行了详细的考察和调研。通过短暂的考察学习，使</w:t>
      </w:r>
      <w:r>
        <w:rPr>
          <w:rFonts w:hint="eastAsia" w:ascii="Times New Roman" w:hAnsi="Times New Roman" w:eastAsia="仿宋" w:cs="Times New Roman"/>
          <w:sz w:val="32"/>
          <w:szCs w:val="32"/>
        </w:rPr>
        <w:t>教师</w:t>
      </w:r>
      <w:r>
        <w:rPr>
          <w:rFonts w:ascii="Times New Roman" w:hAnsi="Times New Roman" w:eastAsia="仿宋" w:cs="Times New Roman"/>
          <w:sz w:val="32"/>
          <w:szCs w:val="32"/>
        </w:rPr>
        <w:t>开阔了眼界，拓宽了思路，转变了观念，更</w:t>
      </w:r>
      <w:r>
        <w:rPr>
          <w:rFonts w:hint="eastAsia" w:ascii="Times New Roman" w:hAnsi="Times New Roman" w:eastAsia="仿宋" w:cs="Times New Roman"/>
          <w:sz w:val="32"/>
          <w:szCs w:val="32"/>
        </w:rPr>
        <w:t>加认真</w:t>
      </w:r>
      <w:r>
        <w:rPr>
          <w:rFonts w:ascii="Times New Roman" w:hAnsi="Times New Roman" w:eastAsia="仿宋" w:cs="Times New Roman"/>
          <w:sz w:val="32"/>
          <w:szCs w:val="32"/>
        </w:rPr>
        <w:t>地思考现在所面临的挑战与机遇</w:t>
      </w:r>
      <w:r>
        <w:rPr>
          <w:rFonts w:hint="eastAsia" w:ascii="Times New Roman" w:hAnsi="Times New Roman" w:eastAsia="仿宋" w:cs="Times New Roman"/>
          <w:sz w:val="32"/>
          <w:szCs w:val="32"/>
        </w:rPr>
        <w:t>，也更加激发了教学改革的动力和决心</w:t>
      </w:r>
      <w:r>
        <w:rPr>
          <w:rFonts w:ascii="Times New Roman" w:hAnsi="Times New Roman" w:eastAsia="仿宋" w:cs="Times New Roman"/>
          <w:sz w:val="32"/>
          <w:szCs w:val="32"/>
        </w:rPr>
        <w:t>。</w:t>
      </w:r>
    </w:p>
    <w:p>
      <w:pPr>
        <w:rPr>
          <w:sz w:val="32"/>
          <w:szCs w:val="32"/>
        </w:rPr>
      </w:pPr>
      <w:r>
        <w:rPr>
          <w:rFonts w:hint="eastAsia" w:ascii="宋体" w:hAnsi="宋体" w:eastAsia="宋体" w:cs="宋体"/>
          <w:sz w:val="24"/>
        </w:rPr>
        <w:drawing>
          <wp:inline distT="0" distB="0" distL="114300" distR="114300">
            <wp:extent cx="5266055" cy="3949700"/>
            <wp:effectExtent l="0" t="0" r="10795" b="12700"/>
            <wp:docPr id="25" name="图片 25" descr="mmexport1543209958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mmexport1543209958970"/>
                    <pic:cNvPicPr>
                      <a:picLocks noChangeAspect="1"/>
                    </pic:cNvPicPr>
                  </pic:nvPicPr>
                  <pic:blipFill>
                    <a:blip r:embed="rId43"/>
                    <a:stretch>
                      <a:fillRect/>
                    </a:stretch>
                  </pic:blipFill>
                  <pic:spPr>
                    <a:xfrm>
                      <a:off x="0" y="0"/>
                      <a:ext cx="5266055" cy="3949700"/>
                    </a:xfrm>
                    <a:prstGeom prst="rect">
                      <a:avLst/>
                    </a:prstGeom>
                  </pic:spPr>
                </pic:pic>
              </a:graphicData>
            </a:graphic>
          </wp:inline>
        </w:drawing>
      </w:r>
    </w:p>
    <w:p>
      <w:pPr>
        <w:jc w:val="center"/>
        <w:rPr>
          <w:rFonts w:ascii="仿宋" w:hAnsi="仿宋" w:eastAsia="仿宋"/>
          <w:b/>
          <w:sz w:val="24"/>
          <w:szCs w:val="24"/>
        </w:rPr>
      </w:pPr>
      <w:r>
        <w:rPr>
          <w:rFonts w:ascii="仿宋" w:hAnsi="仿宋" w:eastAsia="仿宋"/>
          <w:b/>
          <w:color w:val="C55A11" w:themeColor="accent2" w:themeShade="BF"/>
          <w:sz w:val="24"/>
          <w:szCs w:val="24"/>
        </w:rPr>
        <w:t>图</w:t>
      </w:r>
      <w:r>
        <w:rPr>
          <w:rFonts w:hint="eastAsia" w:ascii="仿宋" w:hAnsi="仿宋" w:eastAsia="仿宋"/>
          <w:b/>
          <w:color w:val="C55A11" w:themeColor="accent2" w:themeShade="BF"/>
          <w:sz w:val="24"/>
          <w:szCs w:val="24"/>
        </w:rPr>
        <w:t>2-</w:t>
      </w:r>
      <w:r>
        <w:rPr>
          <w:rFonts w:ascii="仿宋" w:hAnsi="仿宋" w:eastAsia="仿宋"/>
          <w:b/>
          <w:color w:val="C55A11" w:themeColor="accent2" w:themeShade="BF"/>
          <w:sz w:val="24"/>
          <w:szCs w:val="24"/>
        </w:rPr>
        <w:t>8</w:t>
      </w:r>
      <w:r>
        <w:rPr>
          <w:rFonts w:hint="eastAsia" w:ascii="仿宋" w:hAnsi="仿宋" w:eastAsia="仿宋"/>
          <w:b/>
          <w:color w:val="C55A11" w:themeColor="accent2" w:themeShade="BF"/>
          <w:sz w:val="24"/>
          <w:szCs w:val="24"/>
        </w:rPr>
        <w:t>：</w:t>
      </w:r>
      <w:r>
        <w:rPr>
          <w:rFonts w:hint="eastAsia" w:ascii="仿宋" w:hAnsi="仿宋" w:eastAsia="仿宋"/>
          <w:b/>
          <w:sz w:val="24"/>
          <w:szCs w:val="24"/>
        </w:rPr>
        <w:t>学院骨干教师赴山东职业院校学习考察</w:t>
      </w: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rFonts w:ascii="仿宋" w:hAnsi="仿宋" w:eastAsia="仿宋"/>
          <w:b/>
          <w:sz w:val="24"/>
          <w:szCs w:val="24"/>
        </w:rPr>
      </w:pPr>
    </w:p>
    <w:p>
      <w:pPr>
        <w:rPr>
          <w:sz w:val="32"/>
          <w:szCs w:val="32"/>
        </w:rPr>
      </w:pPr>
    </w:p>
    <w:p>
      <w:pPr>
        <w:pStyle w:val="2"/>
      </w:pPr>
      <w:bookmarkStart w:id="35" w:name="_Toc28254451"/>
      <w:bookmarkStart w:id="36" w:name="_Toc32055"/>
      <w:bookmarkStart w:id="37" w:name="_Toc11039"/>
      <w:r>
        <w:t>3 政策保障</w:t>
      </w:r>
      <w:bookmarkEnd w:id="35"/>
      <w:bookmarkEnd w:id="36"/>
      <w:bookmarkEnd w:id="37"/>
    </w:p>
    <w:p>
      <w:pPr>
        <w:spacing w:line="560" w:lineRule="exact"/>
        <w:ind w:firstLine="640" w:firstLineChars="200"/>
        <w:rPr>
          <w:rFonts w:cs="Times New Roman" w:asciiTheme="minorEastAsia" w:hAnsiTheme="minorEastAsia"/>
          <w:sz w:val="32"/>
          <w:szCs w:val="32"/>
        </w:rPr>
      </w:pPr>
      <w:r>
        <w:rPr>
          <w:rFonts w:hint="eastAsia" w:cs="Times New Roman" w:asciiTheme="minorEastAsia" w:hAnsiTheme="minorEastAsia"/>
          <w:sz w:val="32"/>
          <w:szCs w:val="32"/>
        </w:rPr>
        <w:t>通辽职业学院在自治区政府、自治区教育厅、通辽市政府大力支持下，2018—2019学年度各项工作扎实稳健推进，完成了既定目标，提高了人才培养质量，取得了良好的社会声誉。</w:t>
      </w:r>
    </w:p>
    <w:p>
      <w:pPr>
        <w:jc w:val="center"/>
        <w:rPr>
          <w:rFonts w:ascii="仿宋" w:hAnsi="仿宋" w:eastAsia="仿宋"/>
          <w:sz w:val="32"/>
          <w:szCs w:val="32"/>
        </w:rPr>
      </w:pPr>
      <w:r>
        <w:rPr>
          <w:rFonts w:hint="eastAsia" w:ascii="仿宋" w:hAnsi="仿宋" w:eastAsia="仿宋"/>
          <w:b/>
          <w:sz w:val="24"/>
          <w:szCs w:val="24"/>
        </w:rPr>
        <w:t>表</w:t>
      </w:r>
      <w:r>
        <w:rPr>
          <w:rFonts w:ascii="仿宋" w:hAnsi="仿宋" w:eastAsia="仿宋"/>
          <w:b/>
          <w:sz w:val="24"/>
          <w:szCs w:val="24"/>
        </w:rPr>
        <w:t>3</w:t>
      </w:r>
      <w:r>
        <w:rPr>
          <w:rFonts w:hint="eastAsia" w:ascii="仿宋" w:hAnsi="仿宋" w:eastAsia="仿宋"/>
          <w:b/>
          <w:sz w:val="24"/>
          <w:szCs w:val="24"/>
        </w:rPr>
        <w:t>-</w:t>
      </w:r>
      <w:r>
        <w:rPr>
          <w:rFonts w:ascii="仿宋" w:hAnsi="仿宋" w:eastAsia="仿宋"/>
          <w:b/>
          <w:sz w:val="24"/>
          <w:szCs w:val="24"/>
        </w:rPr>
        <w:t xml:space="preserve">1 </w:t>
      </w:r>
      <w:r>
        <w:rPr>
          <w:rFonts w:hint="eastAsia" w:ascii="仿宋" w:hAnsi="仿宋" w:eastAsia="仿宋"/>
          <w:b/>
          <w:sz w:val="24"/>
          <w:szCs w:val="24"/>
        </w:rPr>
        <w:t>落实政策表</w:t>
      </w:r>
    </w:p>
    <w:tbl>
      <w:tblPr>
        <w:tblStyle w:val="11"/>
        <w:tblW w:w="8456" w:type="dxa"/>
        <w:tblInd w:w="0" w:type="dxa"/>
        <w:tblLayout w:type="fixed"/>
        <w:tblCellMar>
          <w:top w:w="0" w:type="dxa"/>
          <w:left w:w="0" w:type="dxa"/>
          <w:bottom w:w="0" w:type="dxa"/>
          <w:right w:w="0" w:type="dxa"/>
        </w:tblCellMar>
      </w:tblPr>
      <w:tblGrid>
        <w:gridCol w:w="927"/>
        <w:gridCol w:w="772"/>
        <w:gridCol w:w="533"/>
        <w:gridCol w:w="843"/>
        <w:gridCol w:w="2623"/>
        <w:gridCol w:w="717"/>
        <w:gridCol w:w="1090"/>
        <w:gridCol w:w="951"/>
      </w:tblGrid>
      <w:tr>
        <w:tblPrEx>
          <w:tblLayout w:type="fixed"/>
          <w:tblCellMar>
            <w:top w:w="0" w:type="dxa"/>
            <w:left w:w="0" w:type="dxa"/>
            <w:bottom w:w="0" w:type="dxa"/>
            <w:right w:w="0" w:type="dxa"/>
          </w:tblCellMar>
        </w:tblPrEx>
        <w:trPr>
          <w:trHeight w:val="825"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代码</w:t>
            </w:r>
          </w:p>
        </w:tc>
        <w:tc>
          <w:tcPr>
            <w:tcW w:w="772"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名称</w:t>
            </w:r>
          </w:p>
        </w:tc>
        <w:tc>
          <w:tcPr>
            <w:tcW w:w="3999" w:type="dxa"/>
            <w:gridSpan w:val="3"/>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指标</w:t>
            </w:r>
          </w:p>
        </w:tc>
        <w:tc>
          <w:tcPr>
            <w:tcW w:w="717"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单位</w:t>
            </w:r>
          </w:p>
        </w:tc>
        <w:tc>
          <w:tcPr>
            <w:tcW w:w="1090"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2018年</w:t>
            </w:r>
          </w:p>
        </w:tc>
        <w:tc>
          <w:tcPr>
            <w:tcW w:w="951"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2019年</w:t>
            </w:r>
          </w:p>
        </w:tc>
      </w:tr>
      <w:tr>
        <w:tblPrEx>
          <w:tblLayout w:type="fixed"/>
          <w:tblCellMar>
            <w:top w:w="0" w:type="dxa"/>
            <w:left w:w="0" w:type="dxa"/>
            <w:bottom w:w="0" w:type="dxa"/>
            <w:right w:w="0" w:type="dxa"/>
          </w:tblCellMar>
        </w:tblPrEx>
        <w:trPr>
          <w:trHeight w:val="567" w:hRule="atLeast"/>
        </w:trPr>
        <w:tc>
          <w:tcPr>
            <w:tcW w:w="927" w:type="dxa"/>
            <w:vMerge w:val="restart"/>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Calibri" w:hAnsi="Calibri" w:eastAsia="黑体" w:cs="Calibri"/>
                <w:color w:val="FFFFFF" w:themeColor="background1"/>
                <w:sz w:val="24"/>
                <w:szCs w:val="24"/>
                <w14:textFill>
                  <w14:solidFill>
                    <w14:schemeClr w14:val="bg1"/>
                  </w14:solidFill>
                </w14:textFill>
              </w:rPr>
              <w:t> </w:t>
            </w:r>
            <w:r>
              <w:rPr>
                <w:rFonts w:ascii="黑体" w:hAnsi="黑体" w:eastAsia="黑体" w:cs="Calibri"/>
                <w:color w:val="FFFFFF" w:themeColor="background1"/>
                <w:sz w:val="24"/>
                <w:szCs w:val="24"/>
                <w14:textFill>
                  <w14:solidFill>
                    <w14:schemeClr w14:val="bg1"/>
                  </w14:solidFill>
                </w14:textFill>
              </w:rPr>
              <w:t>13740</w:t>
            </w:r>
          </w:p>
        </w:tc>
        <w:tc>
          <w:tcPr>
            <w:tcW w:w="772" w:type="dxa"/>
            <w:vMerge w:val="restart"/>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通辽</w:t>
            </w:r>
          </w:p>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职业</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学院</w:t>
            </w:r>
            <w:r>
              <w:rPr>
                <w:rFonts w:ascii="Calibri" w:hAnsi="Calibri" w:eastAsia="黑体" w:cs="Calibri"/>
                <w:color w:val="FFFFFF" w:themeColor="background1"/>
                <w:sz w:val="24"/>
                <w:szCs w:val="24"/>
                <w14:textFill>
                  <w14:solidFill>
                    <w14:schemeClr w14:val="bg1"/>
                  </w14:solidFill>
                </w14:textFill>
              </w:rPr>
              <w:t> </w:t>
            </w: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1</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年生均财政拨款水平</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7054</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6132</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其中：年生均财政专项经费</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6</w:t>
            </w:r>
            <w:r>
              <w:rPr>
                <w:rFonts w:ascii="黑体" w:hAnsi="黑体" w:eastAsia="黑体"/>
                <w:sz w:val="24"/>
                <w:szCs w:val="24"/>
              </w:rPr>
              <w:t>16</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904</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2</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教职员工额定编制数</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75</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75</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left w:val="single" w:color="FFFFFF" w:sz="8" w:space="0"/>
              <w:right w:val="single" w:color="FFFFFF" w:sz="8" w:space="0"/>
            </w:tcBorders>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在岗教职员工总数</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8</w:t>
            </w:r>
            <w:r>
              <w:rPr>
                <w:rFonts w:ascii="黑体" w:hAnsi="黑体" w:eastAsia="黑体"/>
                <w:sz w:val="24"/>
                <w:szCs w:val="24"/>
              </w:rPr>
              <w:t>02</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8</w:t>
            </w:r>
            <w:r>
              <w:rPr>
                <w:rFonts w:ascii="黑体" w:hAnsi="黑体" w:eastAsia="黑体"/>
                <w:sz w:val="24"/>
                <w:szCs w:val="24"/>
              </w:rPr>
              <w:t>87</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left w:val="single" w:color="FFFFFF" w:sz="8" w:space="0"/>
              <w:right w:val="single" w:color="FFFFFF" w:sz="8" w:space="0"/>
            </w:tcBorders>
            <w:vAlign w:val="center"/>
          </w:tcPr>
          <w:p>
            <w:pPr>
              <w:jc w:val="center"/>
              <w:rPr>
                <w:rFonts w:ascii="仿宋" w:hAnsi="仿宋" w:eastAsia="仿宋"/>
                <w:sz w:val="24"/>
                <w:szCs w:val="24"/>
              </w:rPr>
            </w:pPr>
          </w:p>
        </w:tc>
        <w:tc>
          <w:tcPr>
            <w:tcW w:w="843" w:type="dxa"/>
            <w:vMerge w:val="restart"/>
            <w:tcBorders>
              <w:top w:val="single" w:color="FFFFFF" w:sz="8" w:space="0"/>
              <w:left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 xml:space="preserve">其中： </w:t>
            </w:r>
          </w:p>
        </w:tc>
        <w:tc>
          <w:tcPr>
            <w:tcW w:w="2623" w:type="dxa"/>
            <w:tcBorders>
              <w:top w:val="single" w:color="FFFFFF" w:sz="8" w:space="0"/>
              <w:left w:val="single" w:color="FFFFFF" w:sz="8" w:space="0"/>
              <w:bottom w:val="single" w:color="FFFFFF" w:sz="8" w:space="0"/>
              <w:right w:val="single" w:color="FFFFFF" w:sz="8" w:space="0"/>
            </w:tcBorders>
            <w:shd w:val="clear" w:color="auto" w:fill="EAEFF7"/>
            <w:vAlign w:val="center"/>
          </w:tcPr>
          <w:p>
            <w:pPr>
              <w:rPr>
                <w:rFonts w:ascii="仿宋" w:hAnsi="仿宋" w:eastAsia="仿宋"/>
                <w:sz w:val="24"/>
                <w:szCs w:val="24"/>
              </w:rPr>
            </w:pPr>
            <w:r>
              <w:rPr>
                <w:rFonts w:ascii="仿宋" w:hAnsi="仿宋" w:eastAsia="仿宋"/>
                <w:sz w:val="24"/>
                <w:szCs w:val="24"/>
              </w:rPr>
              <w:t>专任教师总数</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hint="eastAsia" w:ascii="仿宋" w:hAnsi="仿宋" w:eastAsia="仿宋"/>
                <w:sz w:val="24"/>
                <w:szCs w:val="24"/>
              </w:rPr>
              <w:t>人</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ascii="黑体" w:hAnsi="黑体" w:eastAsia="黑体"/>
                <w:sz w:val="24"/>
                <w:szCs w:val="24"/>
              </w:rPr>
              <w:t>435</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29</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left w:val="single" w:color="FFFFFF" w:sz="8" w:space="0"/>
              <w:bottom w:val="single" w:color="FFFFFF" w:sz="8" w:space="0"/>
              <w:right w:val="single" w:color="FFFFFF" w:sz="8" w:space="0"/>
            </w:tcBorders>
            <w:vAlign w:val="center"/>
          </w:tcPr>
          <w:p>
            <w:pPr>
              <w:jc w:val="center"/>
              <w:rPr>
                <w:rFonts w:ascii="仿宋" w:hAnsi="仿宋" w:eastAsia="仿宋"/>
                <w:sz w:val="24"/>
                <w:szCs w:val="24"/>
              </w:rPr>
            </w:pPr>
          </w:p>
        </w:tc>
        <w:tc>
          <w:tcPr>
            <w:tcW w:w="843" w:type="dxa"/>
            <w:vMerge w:val="continue"/>
            <w:tcBorders>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p>
        </w:tc>
        <w:tc>
          <w:tcPr>
            <w:tcW w:w="2623" w:type="dxa"/>
            <w:tcBorders>
              <w:top w:val="single" w:color="FFFFFF" w:sz="8" w:space="0"/>
              <w:left w:val="single" w:color="FFFFFF" w:sz="8" w:space="0"/>
              <w:bottom w:val="single" w:color="FFFFFF" w:sz="8" w:space="0"/>
              <w:right w:val="single" w:color="FFFFFF" w:sz="8" w:space="0"/>
            </w:tcBorders>
            <w:shd w:val="clear" w:color="auto" w:fill="EAEFF7"/>
            <w:vAlign w:val="center"/>
          </w:tcPr>
          <w:p>
            <w:pPr>
              <w:rPr>
                <w:rFonts w:ascii="仿宋" w:hAnsi="仿宋" w:eastAsia="仿宋"/>
                <w:sz w:val="24"/>
                <w:szCs w:val="24"/>
              </w:rPr>
            </w:pPr>
            <w:r>
              <w:rPr>
                <w:rFonts w:ascii="仿宋" w:hAnsi="仿宋" w:eastAsia="仿宋"/>
                <w:sz w:val="24"/>
                <w:szCs w:val="24"/>
              </w:rPr>
              <w:t>专任教师年培训量</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hint="eastAsia" w:ascii="仿宋" w:hAnsi="仿宋" w:eastAsia="仿宋"/>
                <w:sz w:val="24"/>
                <w:szCs w:val="24"/>
              </w:rPr>
              <w:t>人日</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ascii="黑体" w:hAnsi="黑体" w:eastAsia="黑体"/>
                <w:sz w:val="24"/>
                <w:szCs w:val="24"/>
              </w:rPr>
              <w:t>1655</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314</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3</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企业提供的校内实践教学设备值</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万元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2</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28</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hint="eastAsia" w:ascii="仿宋" w:hAnsi="仿宋" w:eastAsia="仿宋"/>
                <w:sz w:val="24"/>
                <w:szCs w:val="24"/>
              </w:rPr>
              <w:t>4</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年生均校外实训基地实习时间</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人时</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324</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515</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5</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生均企业实习经费补贴</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其中：生均财政专项补贴</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6</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生均企业实习责任保险补贴</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7</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6</w:t>
            </w:r>
            <w:r>
              <w:rPr>
                <w:rFonts w:ascii="黑体" w:hAnsi="黑体" w:eastAsia="黑体"/>
                <w:sz w:val="24"/>
                <w:szCs w:val="24"/>
              </w:rPr>
              <w:t>5</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其中：生均财政专项补贴</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7</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企业兼职教师年课时总量</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课时</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9</w:t>
            </w:r>
            <w:r>
              <w:rPr>
                <w:rFonts w:ascii="黑体" w:hAnsi="黑体" w:eastAsia="黑体"/>
                <w:sz w:val="24"/>
                <w:szCs w:val="24"/>
              </w:rPr>
              <w:t>832</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192</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年支付企业兼职教师课酬</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43330.00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6650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其中：财政专项补贴</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bl>
    <w:p>
      <w:pPr>
        <w:pStyle w:val="3"/>
      </w:pPr>
      <w:bookmarkStart w:id="38" w:name="_Toc28254452"/>
      <w:bookmarkStart w:id="39" w:name="_Toc15980"/>
      <w:r>
        <w:rPr>
          <w:rFonts w:hint="eastAsia"/>
        </w:rPr>
        <w:t>3.1</w:t>
      </w:r>
      <w:r>
        <w:t>政策引</w:t>
      </w:r>
      <w:r>
        <w:rPr>
          <w:rFonts w:hint="eastAsia"/>
        </w:rPr>
        <w:t>导</w:t>
      </w:r>
      <w:bookmarkEnd w:id="38"/>
      <w:bookmarkEnd w:id="39"/>
    </w:p>
    <w:p>
      <w:pPr>
        <w:spacing w:line="560" w:lineRule="exact"/>
        <w:ind w:firstLine="640" w:firstLineChars="200"/>
        <w:rPr>
          <w:rFonts w:cs="Times New Roman" w:asciiTheme="minorEastAsia" w:hAnsiTheme="minorEastAsia"/>
          <w:sz w:val="32"/>
          <w:szCs w:val="32"/>
        </w:rPr>
      </w:pPr>
      <w:r>
        <w:rPr>
          <w:rFonts w:cs="Times New Roman" w:asciiTheme="minorEastAsia" w:hAnsiTheme="minorEastAsia"/>
          <w:sz w:val="32"/>
          <w:szCs w:val="32"/>
        </w:rPr>
        <w:t>在习近平新时代中国特色社会主义思想引领下，职业教育迎来了前所未有的大变革大发展大繁荣的黄金机遇期。国家层面，全国教育大会隆重召开，《国家职业教育改革实施方案》出台，高职扩招百万、中国特色高水平高职学校和专业建设、1+X证书制度试点等10余个政策文件先后落地实施，制度顶层设计正释放出巨大的政策红利，为职业教育跨越发展、转型发展提供了强劲动力。自治区对通辽市“打造自治区新的区域增长极、向东向南开放的桥头堡”的战略定位，我市要融入新一轮东北振兴大局、推进蒙东跨越发展，正在着力推进“六区建设”、打造“九链五都一市一城”，新旧动能转换提速，新业态不断涌现，新模式快速发展，技术技能人才缺口急剧增长，这些都为通辽职业学院扎根民族地区办职业教育提供了有力遵循。</w:t>
      </w:r>
    </w:p>
    <w:p>
      <w:pPr>
        <w:spacing w:line="560" w:lineRule="exact"/>
        <w:ind w:firstLine="640" w:firstLineChars="200"/>
        <w:rPr>
          <w:rFonts w:cs="Times New Roman" w:asciiTheme="minorEastAsia" w:hAnsiTheme="minorEastAsia"/>
          <w:sz w:val="32"/>
          <w:szCs w:val="32"/>
        </w:rPr>
      </w:pPr>
      <w:r>
        <w:rPr>
          <w:rFonts w:cs="Times New Roman" w:asciiTheme="minorEastAsia" w:hAnsiTheme="minorEastAsia"/>
          <w:sz w:val="32"/>
          <w:szCs w:val="32"/>
        </w:rPr>
        <w:t>作为地方</w:t>
      </w:r>
      <w:r>
        <w:rPr>
          <w:rFonts w:hint="eastAsia" w:cs="Times New Roman" w:asciiTheme="minorEastAsia" w:hAnsiTheme="minorEastAsia"/>
          <w:sz w:val="32"/>
          <w:szCs w:val="32"/>
        </w:rPr>
        <w:t>所属的</w:t>
      </w:r>
      <w:r>
        <w:rPr>
          <w:rFonts w:cs="Times New Roman" w:asciiTheme="minorEastAsia" w:hAnsiTheme="minorEastAsia"/>
          <w:sz w:val="32"/>
          <w:szCs w:val="32"/>
        </w:rPr>
        <w:t>高职院校，学院</w:t>
      </w:r>
      <w:r>
        <w:rPr>
          <w:rFonts w:hint="eastAsia" w:cs="Times New Roman" w:asciiTheme="minorEastAsia" w:hAnsiTheme="minorEastAsia"/>
          <w:sz w:val="32"/>
          <w:szCs w:val="32"/>
        </w:rPr>
        <w:t>紧抓国家、自治区和通辽市加快职业教育发展的契机</w:t>
      </w:r>
      <w:r>
        <w:rPr>
          <w:rFonts w:cs="Times New Roman" w:asciiTheme="minorEastAsia" w:hAnsiTheme="minorEastAsia"/>
          <w:sz w:val="32"/>
          <w:szCs w:val="32"/>
        </w:rPr>
        <w:t>，清晰办学定位，主动适应地方区域经济社会和产业发展对技术技能人才的需求，深化教学改革，加强专业建设，不断提高人才培养的契合度。</w:t>
      </w:r>
      <w:r>
        <w:rPr>
          <w:rFonts w:hint="eastAsia" w:cs="Times New Roman" w:asciiTheme="minorEastAsia" w:hAnsiTheme="minorEastAsia"/>
          <w:sz w:val="32"/>
          <w:szCs w:val="32"/>
        </w:rPr>
        <w:t>2019年3月，</w:t>
      </w:r>
      <w:r>
        <w:rPr>
          <w:rFonts w:cs="Times New Roman" w:asciiTheme="minorEastAsia" w:hAnsiTheme="minorEastAsia"/>
          <w:sz w:val="32"/>
          <w:szCs w:val="32"/>
        </w:rPr>
        <w:t>学院二次党代会明确了今后五年的奋斗目标，要以习近平新时代中国特色社会主义思想为指导，认真贯彻落实全国高校思想政治工作会议、全国教育大会精神和《国家职业教育改革实施方案》要求，加强党的全面领导，坚持立德树人、服务发展、促进就业的办学方向，牢固树立新发展理念，坚定实施“双轮驱动”战略，深化产教融合、校企合作，实现由追求规模扩张向提高质量转变，由普通办学模式向特色鲜明办学模式转变，着力培养新时代德技兼备的高素质劳动者和技术技能人才，不断提升服务经济社会发展的能力，</w:t>
      </w:r>
      <w:r>
        <w:rPr>
          <w:rFonts w:hint="eastAsia" w:ascii="仿宋" w:hAnsi="仿宋" w:eastAsia="仿宋" w:cs="楷体_GB2312"/>
          <w:b/>
          <w:color w:val="C55A11" w:themeColor="accent2" w:themeShade="BF"/>
          <w:sz w:val="24"/>
          <w:szCs w:val="24"/>
        </w:rPr>
        <w:drawing>
          <wp:anchor distT="0" distB="0" distL="114300" distR="114300" simplePos="0" relativeHeight="251673600" behindDoc="0" locked="0" layoutInCell="1" allowOverlap="1">
            <wp:simplePos x="0" y="0"/>
            <wp:positionH relativeFrom="margin">
              <wp:align>left</wp:align>
            </wp:positionH>
            <wp:positionV relativeFrom="paragraph">
              <wp:posOffset>2241550</wp:posOffset>
            </wp:positionV>
            <wp:extent cx="5010150" cy="3028950"/>
            <wp:effectExtent l="0" t="0" r="0" b="0"/>
            <wp:wrapThrough wrapText="bothSides">
              <wp:wrapPolygon>
                <wp:start x="0" y="0"/>
                <wp:lineTo x="0" y="21464"/>
                <wp:lineTo x="21518" y="21464"/>
                <wp:lineTo x="21518" y="0"/>
                <wp:lineTo x="0" y="0"/>
              </wp:wrapPolygon>
            </wp:wrapThrough>
            <wp:docPr id="22" name="图片 22" descr="lADPDgQ9rYklTsrNEYDNGkA_6720_4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lADPDgQ9rYklTsrNEYDNGkA_6720_4480"/>
                    <pic:cNvPicPr>
                      <a:picLocks noChangeAspect="1"/>
                    </pic:cNvPicPr>
                  </pic:nvPicPr>
                  <pic:blipFill>
                    <a:blip r:embed="rId44">
                      <a:extLst>
                        <a:ext uri="{28A0092B-C50C-407E-A947-70E740481C1C}">
                          <a14:useLocalDpi xmlns:a14="http://schemas.microsoft.com/office/drawing/2010/main" val="0"/>
                        </a:ext>
                      </a:extLst>
                    </a:blip>
                    <a:srcRect t="19322"/>
                    <a:stretch>
                      <a:fillRect/>
                    </a:stretch>
                  </pic:blipFill>
                  <pic:spPr>
                    <a:xfrm>
                      <a:off x="0" y="0"/>
                      <a:ext cx="5010150" cy="3028950"/>
                    </a:xfrm>
                    <a:prstGeom prst="rect">
                      <a:avLst/>
                    </a:prstGeom>
                  </pic:spPr>
                </pic:pic>
              </a:graphicData>
            </a:graphic>
          </wp:anchor>
        </w:drawing>
      </w:r>
      <w:r>
        <w:rPr>
          <w:rFonts w:cs="Times New Roman" w:asciiTheme="minorEastAsia" w:hAnsiTheme="minorEastAsia"/>
          <w:sz w:val="32"/>
          <w:szCs w:val="32"/>
        </w:rPr>
        <w:t>努力办好人民满意的职业教育。</w:t>
      </w:r>
    </w:p>
    <w:p>
      <w:pPr>
        <w:spacing w:line="560" w:lineRule="exact"/>
        <w:jc w:val="center"/>
        <w:rPr>
          <w:rFonts w:ascii="仿宋" w:hAnsi="仿宋" w:eastAsia="仿宋" w:cs="楷体_GB2312"/>
          <w:b/>
          <w:sz w:val="24"/>
          <w:szCs w:val="24"/>
        </w:rPr>
      </w:pPr>
      <w:r>
        <w:rPr>
          <w:rFonts w:hint="eastAsia" w:ascii="仿宋" w:hAnsi="仿宋" w:eastAsia="仿宋" w:cs="楷体_GB2312"/>
          <w:b/>
          <w:color w:val="C55A11" w:themeColor="accent2" w:themeShade="BF"/>
          <w:sz w:val="24"/>
          <w:szCs w:val="24"/>
        </w:rPr>
        <w:t>图3-</w:t>
      </w:r>
      <w:r>
        <w:rPr>
          <w:rFonts w:ascii="仿宋" w:hAnsi="仿宋" w:eastAsia="仿宋" w:cs="楷体_GB2312"/>
          <w:b/>
          <w:color w:val="C55A11" w:themeColor="accent2" w:themeShade="BF"/>
          <w:sz w:val="24"/>
          <w:szCs w:val="24"/>
        </w:rPr>
        <w:t>1</w:t>
      </w:r>
      <w:r>
        <w:rPr>
          <w:rFonts w:hint="eastAsia" w:ascii="仿宋" w:hAnsi="仿宋" w:eastAsia="仿宋" w:cs="楷体_GB2312"/>
          <w:b/>
          <w:color w:val="C55A11" w:themeColor="accent2" w:themeShade="BF"/>
          <w:sz w:val="24"/>
          <w:szCs w:val="24"/>
        </w:rPr>
        <w:t>：</w:t>
      </w:r>
      <w:r>
        <w:rPr>
          <w:rFonts w:hint="eastAsia" w:ascii="仿宋" w:hAnsi="仿宋" w:eastAsia="仿宋" w:cs="楷体_GB2312"/>
          <w:b/>
          <w:sz w:val="24"/>
          <w:szCs w:val="24"/>
        </w:rPr>
        <w:t>学院二次党代会</w:t>
      </w:r>
    </w:p>
    <w:p>
      <w:pPr>
        <w:pStyle w:val="3"/>
      </w:pPr>
      <w:bookmarkStart w:id="40" w:name="_Toc24427"/>
      <w:bookmarkStart w:id="41" w:name="_Toc28254453"/>
      <w:r>
        <w:rPr>
          <w:rFonts w:hint="eastAsia"/>
        </w:rPr>
        <w:t>3.2专项实施</w:t>
      </w:r>
      <w:bookmarkEnd w:id="40"/>
      <w:bookmarkEnd w:id="41"/>
    </w:p>
    <w:p>
      <w:pPr>
        <w:spacing w:line="600" w:lineRule="exact"/>
        <w:ind w:firstLine="643" w:firstLineChars="200"/>
        <w:rPr>
          <w:rFonts w:cs="Times New Roman" w:asciiTheme="minorEastAsia" w:hAnsiTheme="minorEastAsia"/>
          <w:sz w:val="32"/>
          <w:szCs w:val="32"/>
        </w:rPr>
      </w:pPr>
      <w:r>
        <w:rPr>
          <w:rFonts w:hint="eastAsia" w:cs="Times New Roman" w:asciiTheme="minorEastAsia" w:hAnsiTheme="minorEastAsia"/>
          <w:b/>
          <w:bCs/>
          <w:sz w:val="32"/>
          <w:szCs w:val="32"/>
        </w:rPr>
        <w:t>依法依制治校：</w:t>
      </w:r>
      <w:r>
        <w:rPr>
          <w:rFonts w:cs="Times New Roman" w:asciiTheme="minorEastAsia" w:hAnsiTheme="minorEastAsia"/>
          <w:sz w:val="32"/>
          <w:szCs w:val="32"/>
        </w:rPr>
        <w:t>学院主动适应新时代职业教育</w:t>
      </w:r>
      <w:r>
        <w:rPr>
          <w:rFonts w:hint="eastAsia" w:cs="Times New Roman" w:asciiTheme="minorEastAsia" w:hAnsiTheme="minorEastAsia"/>
          <w:sz w:val="32"/>
          <w:szCs w:val="32"/>
        </w:rPr>
        <w:t>发展</w:t>
      </w:r>
      <w:r>
        <w:rPr>
          <w:rFonts w:cs="Times New Roman" w:asciiTheme="minorEastAsia" w:hAnsiTheme="minorEastAsia"/>
          <w:sz w:val="32"/>
          <w:szCs w:val="32"/>
        </w:rPr>
        <w:t>的新</w:t>
      </w:r>
      <w:r>
        <w:rPr>
          <w:rFonts w:hint="eastAsia" w:cs="Times New Roman" w:asciiTheme="minorEastAsia" w:hAnsiTheme="minorEastAsia"/>
          <w:sz w:val="32"/>
          <w:szCs w:val="32"/>
        </w:rPr>
        <w:t>形势新任务</w:t>
      </w:r>
      <w:r>
        <w:rPr>
          <w:rFonts w:cs="Times New Roman" w:asciiTheme="minorEastAsia" w:hAnsiTheme="minorEastAsia"/>
          <w:sz w:val="32"/>
          <w:szCs w:val="32"/>
        </w:rPr>
        <w:t>新要求，把依法治校、依</w:t>
      </w:r>
      <w:r>
        <w:rPr>
          <w:rFonts w:hint="eastAsia" w:cs="Times New Roman" w:asciiTheme="minorEastAsia" w:hAnsiTheme="minorEastAsia"/>
          <w:sz w:val="32"/>
          <w:szCs w:val="32"/>
        </w:rPr>
        <w:t>制</w:t>
      </w:r>
      <w:r>
        <w:rPr>
          <w:rFonts w:cs="Times New Roman" w:asciiTheme="minorEastAsia" w:hAnsiTheme="minorEastAsia"/>
          <w:sz w:val="32"/>
          <w:szCs w:val="32"/>
        </w:rPr>
        <w:t>施教作为提升学院管理水平的根本任务，围绕建立完善现代大学制度、推进学院内部治理现代化，全面落实高校党委领导下的校长负责制和“三重一大”决策机制</w:t>
      </w:r>
      <w:r>
        <w:rPr>
          <w:rFonts w:hint="eastAsia" w:cs="Times New Roman" w:asciiTheme="minorEastAsia" w:hAnsiTheme="minorEastAsia"/>
          <w:sz w:val="32"/>
          <w:szCs w:val="32"/>
        </w:rPr>
        <w:t>。一</w:t>
      </w:r>
      <w:r>
        <w:rPr>
          <w:rFonts w:cs="Times New Roman" w:asciiTheme="minorEastAsia" w:hAnsiTheme="minorEastAsia"/>
          <w:sz w:val="32"/>
          <w:szCs w:val="32"/>
        </w:rPr>
        <w:t>是修订</w:t>
      </w:r>
      <w:r>
        <w:rPr>
          <w:rFonts w:hint="eastAsia" w:cs="Times New Roman" w:asciiTheme="minorEastAsia" w:hAnsiTheme="minorEastAsia"/>
          <w:sz w:val="32"/>
          <w:szCs w:val="32"/>
        </w:rPr>
        <w:t>《通辽职业学院党委领导下的院长负责制实施细则》，</w:t>
      </w:r>
      <w:r>
        <w:rPr>
          <w:rFonts w:cs="Times New Roman" w:asciiTheme="minorEastAsia" w:hAnsiTheme="minorEastAsia"/>
          <w:color w:val="000000" w:themeColor="text1"/>
          <w:sz w:val="32"/>
          <w:szCs w:val="32"/>
          <w14:textFill>
            <w14:solidFill>
              <w14:schemeClr w14:val="tx1"/>
            </w14:solidFill>
          </w14:textFill>
        </w:rPr>
        <w:t>学院党的委员会对学院工作实行全面领导</w:t>
      </w:r>
      <w:r>
        <w:rPr>
          <w:rFonts w:hint="eastAsia" w:cs="Times New Roman" w:asciiTheme="minorEastAsia" w:hAnsiTheme="minorEastAsia"/>
          <w:sz w:val="32"/>
          <w:szCs w:val="32"/>
        </w:rPr>
        <w:t>；二是完善</w:t>
      </w:r>
      <w:r>
        <w:rPr>
          <w:rFonts w:cs="Times New Roman" w:asciiTheme="minorEastAsia" w:hAnsiTheme="minorEastAsia"/>
          <w:sz w:val="32"/>
          <w:szCs w:val="32"/>
        </w:rPr>
        <w:t>“三重一大”</w:t>
      </w:r>
      <w:r>
        <w:rPr>
          <w:rFonts w:hint="eastAsia" w:cs="Times New Roman" w:asciiTheme="minorEastAsia" w:hAnsiTheme="minorEastAsia"/>
          <w:sz w:val="32"/>
          <w:szCs w:val="32"/>
        </w:rPr>
        <w:t>事项</w:t>
      </w:r>
      <w:r>
        <w:rPr>
          <w:rFonts w:cs="Times New Roman" w:asciiTheme="minorEastAsia" w:hAnsiTheme="minorEastAsia"/>
          <w:sz w:val="32"/>
          <w:szCs w:val="32"/>
        </w:rPr>
        <w:t>决策机制</w:t>
      </w:r>
      <w:r>
        <w:rPr>
          <w:rFonts w:hint="eastAsia" w:cs="Times New Roman" w:asciiTheme="minorEastAsia" w:hAnsiTheme="minorEastAsia"/>
          <w:sz w:val="32"/>
          <w:szCs w:val="32"/>
        </w:rPr>
        <w:t>，</w:t>
      </w:r>
      <w:r>
        <w:rPr>
          <w:rFonts w:cs="Times New Roman" w:asciiTheme="minorEastAsia" w:hAnsiTheme="minorEastAsia"/>
          <w:color w:val="000000" w:themeColor="text1"/>
          <w:sz w:val="32"/>
          <w:szCs w:val="32"/>
          <w14:textFill>
            <w14:solidFill>
              <w14:schemeClr w14:val="tx1"/>
            </w14:solidFill>
          </w14:textFill>
        </w:rPr>
        <w:t>凡属重大问题必须按照集体领导、民主集中、个别酝酿、会议决定的原则，由党委集体研究决定</w:t>
      </w:r>
      <w:r>
        <w:rPr>
          <w:rFonts w:hint="eastAsia" w:cs="Times New Roman" w:asciiTheme="minorEastAsia" w:hAnsiTheme="minorEastAsia"/>
          <w:sz w:val="32"/>
          <w:szCs w:val="32"/>
        </w:rPr>
        <w:t>；三是</w:t>
      </w:r>
      <w:r>
        <w:rPr>
          <w:rFonts w:cs="Times New Roman" w:asciiTheme="minorEastAsia" w:hAnsiTheme="minorEastAsia"/>
          <w:sz w:val="32"/>
          <w:szCs w:val="32"/>
        </w:rPr>
        <w:t>制定《通辽职业学院教学系部议事规则》</w:t>
      </w:r>
      <w:r>
        <w:rPr>
          <w:rFonts w:hint="eastAsia" w:cs="Times New Roman" w:asciiTheme="minorEastAsia" w:hAnsiTheme="minorEastAsia"/>
          <w:sz w:val="32"/>
          <w:szCs w:val="32"/>
        </w:rPr>
        <w:t>，</w:t>
      </w:r>
      <w:r>
        <w:rPr>
          <w:rFonts w:cs="Times New Roman" w:asciiTheme="minorEastAsia" w:hAnsiTheme="minorEastAsia"/>
          <w:sz w:val="32"/>
          <w:szCs w:val="32"/>
        </w:rPr>
        <w:t>明确党政联席会议作为教学系部的重要问题决策形式及其议事范围、议事程序、议事纪律和督办执行等工作规则</w:t>
      </w:r>
      <w:r>
        <w:rPr>
          <w:rFonts w:hint="eastAsia" w:cs="Times New Roman" w:asciiTheme="minorEastAsia" w:hAnsiTheme="minorEastAsia"/>
          <w:sz w:val="32"/>
          <w:szCs w:val="32"/>
        </w:rPr>
        <w:t>；四</w:t>
      </w:r>
      <w:r>
        <w:rPr>
          <w:rFonts w:cs="Times New Roman" w:asciiTheme="minorEastAsia" w:hAnsiTheme="minorEastAsia"/>
          <w:sz w:val="32"/>
          <w:szCs w:val="32"/>
        </w:rPr>
        <w:t>是成立学院投资决策指导委员会，加强对重大投资项目、大额资金支付审批</w:t>
      </w:r>
      <w:r>
        <w:rPr>
          <w:rFonts w:hint="eastAsia" w:cs="Times New Roman" w:asciiTheme="minorEastAsia" w:hAnsiTheme="minorEastAsia"/>
          <w:sz w:val="32"/>
          <w:szCs w:val="32"/>
        </w:rPr>
        <w:t>；五</w:t>
      </w:r>
      <w:r>
        <w:rPr>
          <w:rFonts w:cs="Times New Roman" w:asciiTheme="minorEastAsia" w:hAnsiTheme="minorEastAsia"/>
          <w:sz w:val="32"/>
          <w:szCs w:val="32"/>
        </w:rPr>
        <w:t>是</w:t>
      </w:r>
      <w:r>
        <w:rPr>
          <w:rFonts w:hint="eastAsia" w:cs="Times New Roman" w:asciiTheme="minorEastAsia" w:hAnsiTheme="minorEastAsia"/>
          <w:sz w:val="32"/>
          <w:szCs w:val="32"/>
        </w:rPr>
        <w:t>创新考核</w:t>
      </w:r>
      <w:r>
        <w:rPr>
          <w:rFonts w:cs="Times New Roman" w:asciiTheme="minorEastAsia" w:hAnsiTheme="minorEastAsia"/>
          <w:sz w:val="32"/>
          <w:szCs w:val="32"/>
        </w:rPr>
        <w:t>评价</w:t>
      </w:r>
      <w:r>
        <w:rPr>
          <w:rFonts w:hint="eastAsia" w:cs="Times New Roman" w:asciiTheme="minorEastAsia" w:hAnsiTheme="minorEastAsia"/>
          <w:sz w:val="32"/>
          <w:szCs w:val="32"/>
        </w:rPr>
        <w:t>激励</w:t>
      </w:r>
      <w:r>
        <w:rPr>
          <w:rFonts w:cs="Times New Roman" w:asciiTheme="minorEastAsia" w:hAnsiTheme="minorEastAsia"/>
          <w:sz w:val="32"/>
          <w:szCs w:val="32"/>
        </w:rPr>
        <w:t>机制</w:t>
      </w:r>
      <w:r>
        <w:rPr>
          <w:rFonts w:hint="eastAsia" w:cs="Times New Roman" w:asciiTheme="minorEastAsia" w:hAnsiTheme="minorEastAsia"/>
          <w:sz w:val="32"/>
          <w:szCs w:val="32"/>
        </w:rPr>
        <w:t>，</w:t>
      </w:r>
      <w:r>
        <w:rPr>
          <w:rFonts w:cs="Times New Roman" w:asciiTheme="minorEastAsia" w:hAnsiTheme="minorEastAsia"/>
          <w:sz w:val="32"/>
          <w:szCs w:val="32"/>
        </w:rPr>
        <w:t>出台《教师教学质量评价实施方案》，有效实施内部质量保证监控评价，通过对教学部门、专业、课程、教师、学生五个层面</w:t>
      </w:r>
      <w:r>
        <w:rPr>
          <w:rFonts w:hint="eastAsia" w:cs="Times New Roman" w:asciiTheme="minorEastAsia" w:hAnsiTheme="minorEastAsia"/>
          <w:sz w:val="32"/>
          <w:szCs w:val="32"/>
        </w:rPr>
        <w:t>的</w:t>
      </w:r>
      <w:r>
        <w:rPr>
          <w:rFonts w:cs="Times New Roman" w:asciiTheme="minorEastAsia" w:hAnsiTheme="minorEastAsia"/>
          <w:sz w:val="32"/>
          <w:szCs w:val="32"/>
        </w:rPr>
        <w:t>质量保证机制，加强内部治理</w:t>
      </w:r>
      <w:r>
        <w:rPr>
          <w:rFonts w:hint="eastAsia" w:cs="Times New Roman" w:asciiTheme="minorEastAsia" w:hAnsiTheme="minorEastAsia"/>
          <w:sz w:val="32"/>
          <w:szCs w:val="32"/>
        </w:rPr>
        <w:t>。</w:t>
      </w:r>
    </w:p>
    <w:p>
      <w:pPr>
        <w:spacing w:line="600" w:lineRule="exact"/>
        <w:ind w:firstLine="640" w:firstLineChars="200"/>
        <w:rPr>
          <w:rFonts w:ascii="Times New Roman" w:hAnsi="Times New Roman" w:eastAsia="仿宋_GB2312" w:cs="Times New Roman"/>
          <w:sz w:val="32"/>
          <w:szCs w:val="32"/>
        </w:rPr>
      </w:pPr>
      <w:r>
        <w:rPr>
          <w:rFonts w:cs="Times New Roman" w:asciiTheme="minorEastAsia" w:hAnsiTheme="minorEastAsia"/>
          <w:sz w:val="32"/>
          <w:szCs w:val="32"/>
        </w:rPr>
        <w:t>在2017年制度建设基础上，本学年度结合上级政策要求和学院办学实际，修订了《通辽职业学院章程》并经自治区教育厅批准，根据工作需要新出台了48项工作制度，编印了《通辽职业学院工作制度汇编》，形成了以学院《章程》为总纲，党政管理、教学科研、学生工作、安全稳定四大类制度为主体的“一章四制”制度体系，为营造科学管理、依法治校的良好制度环境提供了有力保障。</w:t>
      </w:r>
    </w:p>
    <w:p>
      <w:pPr>
        <w:spacing w:line="560" w:lineRule="exact"/>
        <w:jc w:val="center"/>
        <w:rPr>
          <w:rFonts w:ascii="仿宋" w:hAnsi="仿宋" w:eastAsia="仿宋" w:cs="Times New Roman"/>
          <w:b/>
          <w:sz w:val="24"/>
          <w:szCs w:val="24"/>
        </w:rPr>
      </w:pPr>
      <w:r>
        <w:rPr>
          <w:rFonts w:ascii="仿宋" w:hAnsi="仿宋" w:eastAsia="仿宋" w:cs="Times New Roman"/>
          <w:b/>
          <w:sz w:val="24"/>
          <w:szCs w:val="24"/>
        </w:rPr>
        <w:drawing>
          <wp:anchor distT="0" distB="0" distL="114300" distR="114300" simplePos="0" relativeHeight="251674624" behindDoc="0" locked="0" layoutInCell="1" allowOverlap="1">
            <wp:simplePos x="0" y="0"/>
            <wp:positionH relativeFrom="margin">
              <wp:align>center</wp:align>
            </wp:positionH>
            <wp:positionV relativeFrom="paragraph">
              <wp:posOffset>254000</wp:posOffset>
            </wp:positionV>
            <wp:extent cx="5099050" cy="3314700"/>
            <wp:effectExtent l="0" t="0" r="6350" b="0"/>
            <wp:wrapThrough wrapText="bothSides">
              <wp:wrapPolygon>
                <wp:start x="0" y="0"/>
                <wp:lineTo x="0" y="21476"/>
                <wp:lineTo x="21546" y="21476"/>
                <wp:lineTo x="21546" y="0"/>
                <wp:lineTo x="0" y="0"/>
              </wp:wrapPolygon>
            </wp:wrapThrough>
            <wp:docPr id="23" name="图片 23" descr="a1c1a1f31b1649f0aca249441143a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a1c1a1f31b1649f0aca249441143af3"/>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099050" cy="3314700"/>
                    </a:xfrm>
                    <a:prstGeom prst="rect">
                      <a:avLst/>
                    </a:prstGeom>
                  </pic:spPr>
                </pic:pic>
              </a:graphicData>
            </a:graphic>
          </wp:anchor>
        </w:drawing>
      </w:r>
      <w:r>
        <w:rPr>
          <w:rFonts w:hint="eastAsia" w:ascii="仿宋" w:hAnsi="仿宋" w:eastAsia="仿宋" w:cs="Times New Roman"/>
          <w:b/>
          <w:color w:val="C55A11" w:themeColor="accent2" w:themeShade="BF"/>
          <w:sz w:val="24"/>
          <w:szCs w:val="24"/>
        </w:rPr>
        <w:t>图3-</w:t>
      </w:r>
      <w:r>
        <w:rPr>
          <w:rFonts w:ascii="仿宋" w:hAnsi="仿宋" w:eastAsia="仿宋" w:cs="Times New Roman"/>
          <w:b/>
          <w:color w:val="C55A11" w:themeColor="accent2" w:themeShade="BF"/>
          <w:sz w:val="24"/>
          <w:szCs w:val="24"/>
        </w:rPr>
        <w:t>2</w:t>
      </w:r>
      <w:r>
        <w:rPr>
          <w:rFonts w:hint="eastAsia" w:ascii="仿宋" w:hAnsi="仿宋" w:eastAsia="仿宋" w:cs="Times New Roman"/>
          <w:b/>
          <w:color w:val="C55A11" w:themeColor="accent2" w:themeShade="BF"/>
          <w:sz w:val="24"/>
          <w:szCs w:val="24"/>
        </w:rPr>
        <w:t>：</w:t>
      </w:r>
      <w:r>
        <w:rPr>
          <w:rFonts w:hint="eastAsia" w:ascii="仿宋" w:hAnsi="仿宋" w:eastAsia="仿宋" w:cs="Times New Roman"/>
          <w:b/>
          <w:sz w:val="24"/>
          <w:szCs w:val="24"/>
        </w:rPr>
        <w:t>学院召开干部绩效考核述职大会</w:t>
      </w:r>
    </w:p>
    <w:p>
      <w:pPr>
        <w:spacing w:line="600" w:lineRule="exact"/>
        <w:ind w:firstLine="643" w:firstLineChars="200"/>
        <w:rPr>
          <w:rFonts w:cs="Times New Roman" w:asciiTheme="minorEastAsia" w:hAnsiTheme="minorEastAsia"/>
          <w:sz w:val="32"/>
          <w:szCs w:val="32"/>
        </w:rPr>
      </w:pPr>
      <w:r>
        <w:rPr>
          <w:rFonts w:hint="eastAsia" w:cs="Times New Roman" w:asciiTheme="minorEastAsia" w:hAnsiTheme="minorEastAsia"/>
          <w:b/>
          <w:bCs/>
          <w:sz w:val="32"/>
          <w:szCs w:val="32"/>
        </w:rPr>
        <w:t>内蒙古自治区示范性高职院校建设项目：</w:t>
      </w:r>
      <w:r>
        <w:rPr>
          <w:rFonts w:hint="eastAsia" w:cs="Times New Roman" w:asciiTheme="minorEastAsia" w:hAnsiTheme="minorEastAsia"/>
          <w:sz w:val="32"/>
          <w:szCs w:val="32"/>
        </w:rPr>
        <w:t>2018年</w:t>
      </w:r>
      <w:r>
        <w:rPr>
          <w:rFonts w:cs="Times New Roman" w:asciiTheme="minorEastAsia" w:hAnsiTheme="minorEastAsia"/>
          <w:sz w:val="32"/>
          <w:szCs w:val="32"/>
        </w:rPr>
        <w:t>，</w:t>
      </w:r>
      <w:r>
        <w:rPr>
          <w:rFonts w:hint="eastAsia" w:cs="Times New Roman" w:asciiTheme="minorEastAsia" w:hAnsiTheme="minorEastAsia"/>
          <w:sz w:val="32"/>
          <w:szCs w:val="32"/>
        </w:rPr>
        <w:t>示范校建设进入评估和验收阶段，</w:t>
      </w:r>
      <w:r>
        <w:rPr>
          <w:rFonts w:cs="Times New Roman" w:asciiTheme="minorEastAsia" w:hAnsiTheme="minorEastAsia"/>
          <w:sz w:val="32"/>
          <w:szCs w:val="32"/>
        </w:rPr>
        <w:t>全院上下按照《建设方案》和《任务书》的部署，</w:t>
      </w:r>
      <w:r>
        <w:rPr>
          <w:rFonts w:hint="eastAsia" w:cs="Times New Roman" w:asciiTheme="minorEastAsia" w:hAnsiTheme="minorEastAsia"/>
          <w:sz w:val="32"/>
          <w:szCs w:val="32"/>
        </w:rPr>
        <w:t>扎实推进各项工作</w:t>
      </w:r>
      <w:r>
        <w:rPr>
          <w:rFonts w:cs="Times New Roman" w:asciiTheme="minorEastAsia" w:hAnsiTheme="minorEastAsia"/>
          <w:sz w:val="32"/>
          <w:szCs w:val="32"/>
        </w:rPr>
        <w:t>，圆满完成预定的年度目标任务</w:t>
      </w:r>
      <w:r>
        <w:rPr>
          <w:rFonts w:hint="eastAsia" w:cs="Times New Roman" w:asciiTheme="minorEastAsia" w:hAnsiTheme="minorEastAsia"/>
          <w:sz w:val="32"/>
          <w:szCs w:val="32"/>
        </w:rPr>
        <w:t>。</w:t>
      </w:r>
      <w:r>
        <w:rPr>
          <w:rFonts w:cs="Times New Roman" w:asciiTheme="minorEastAsia" w:hAnsiTheme="minorEastAsia"/>
          <w:sz w:val="32"/>
          <w:szCs w:val="32"/>
        </w:rPr>
        <w:t>项目预期投资4868万元，实际拨付资金12725万元，资金到位率达到261.4%，6个子项目资金到位率均达到或超过100%。示范校建设期间，重点建设了护理、药学、学前教育等三个专业及专业群。结合区域产业调整的需要，</w:t>
      </w:r>
      <w:r>
        <w:rPr>
          <w:rFonts w:hint="eastAsia" w:cs="Times New Roman" w:asciiTheme="minorEastAsia" w:hAnsiTheme="minorEastAsia"/>
          <w:sz w:val="32"/>
          <w:szCs w:val="32"/>
        </w:rPr>
        <w:t>2019</w:t>
      </w:r>
      <w:r>
        <w:rPr>
          <w:rFonts w:cs="Times New Roman" w:asciiTheme="minorEastAsia" w:hAnsiTheme="minorEastAsia"/>
          <w:sz w:val="32"/>
          <w:szCs w:val="32"/>
        </w:rPr>
        <w:t>年又新增了蒙医学、蒙药学、口腔医学、家政服务与管理、营养配餐、运动训练、幼儿发展与健康管理等高职专业。重点专业（群）建设自治区级优秀教学团队1个，培养自治区教学名师1人、教坛新秀1人；院级专业带头人8人，骨干教师30人，聘请行业企业兼职教师101人次。</w:t>
      </w:r>
      <w:r>
        <w:rPr>
          <w:rFonts w:hint="eastAsia" w:cs="Times New Roman" w:asciiTheme="minorEastAsia" w:hAnsiTheme="minorEastAsia"/>
          <w:sz w:val="32"/>
          <w:szCs w:val="32"/>
        </w:rPr>
        <w:t>在规划建设、教学改革、师资队伍建设、稳定管理等几个方面，在验收过程中得到专家好评，并顺利通过验收。</w:t>
      </w:r>
    </w:p>
    <w:p>
      <w:pPr>
        <w:spacing w:line="600" w:lineRule="exact"/>
        <w:ind w:firstLine="643" w:firstLineChars="200"/>
        <w:rPr>
          <w:rFonts w:cs="Times New Roman" w:asciiTheme="minorEastAsia" w:hAnsiTheme="minorEastAsia"/>
          <w:sz w:val="32"/>
          <w:szCs w:val="32"/>
        </w:rPr>
      </w:pPr>
      <w:r>
        <w:rPr>
          <w:rFonts w:hint="eastAsia" w:cs="Times New Roman" w:asciiTheme="minorEastAsia" w:hAnsiTheme="minorEastAsia"/>
          <w:b/>
          <w:bCs/>
          <w:sz w:val="32"/>
          <w:szCs w:val="32"/>
        </w:rPr>
        <w:t>护理教学实训大楼建设：</w:t>
      </w:r>
      <w:r>
        <w:rPr>
          <w:rFonts w:hint="eastAsia" w:cs="Times New Roman" w:asciiTheme="minorEastAsia" w:hAnsiTheme="minorEastAsia"/>
          <w:sz w:val="32"/>
          <w:szCs w:val="32"/>
        </w:rPr>
        <w:t>我院护理专业是自治区品牌专业、自治区重点建设专业，是我区第一个获得全国护理技能大赛一等奖的专业。为了专业建设的发展，改善实训条件，做大做精护理专业，我院于2018年初启动护理大楼的建设项目。经过各方努力，本学年度护理大楼已经完成投资2676万元，主体工程即将完工，内部装修和仪器设备购置工作即将开始。</w:t>
      </w:r>
    </w:p>
    <w:p>
      <w:pPr>
        <w:spacing w:line="600" w:lineRule="exact"/>
        <w:ind w:firstLine="643" w:firstLineChars="200"/>
        <w:rPr>
          <w:rFonts w:cs="Times New Roman" w:asciiTheme="minorEastAsia" w:hAnsiTheme="minorEastAsia"/>
          <w:sz w:val="32"/>
          <w:szCs w:val="32"/>
        </w:rPr>
      </w:pPr>
      <w:r>
        <w:rPr>
          <w:rFonts w:hint="eastAsia" w:cs="Times New Roman" w:asciiTheme="minorEastAsia" w:hAnsiTheme="minorEastAsia"/>
          <w:b/>
          <w:bCs/>
          <w:sz w:val="32"/>
          <w:szCs w:val="32"/>
        </w:rPr>
        <w:t>教师培训三年行动计划：</w:t>
      </w:r>
      <w:r>
        <w:rPr>
          <w:rFonts w:hint="eastAsia" w:cs="Times New Roman" w:asciiTheme="minorEastAsia" w:hAnsiTheme="minorEastAsia"/>
          <w:sz w:val="32"/>
          <w:szCs w:val="32"/>
        </w:rPr>
        <w:t>为了贯彻落实《国家职业教育改革实施方案》中关于提高教师专业水平和实践教学能力、提高教师双师比例的总体要求，2019年3月，我院制定了《教师培训三年行动计划》，明确“双师型”及“双师”素质型教师队伍建设等系列子方案完成时间表和具体培训内容，保证师资培训工作科学、有序、高效完成。</w:t>
      </w:r>
    </w:p>
    <w:p>
      <w:pPr>
        <w:spacing w:line="600" w:lineRule="exact"/>
        <w:ind w:firstLine="643" w:firstLineChars="200"/>
        <w:rPr>
          <w:rFonts w:ascii="Times New Roman" w:hAnsi="Times New Roman" w:eastAsia="仿宋_GB2312" w:cs="Times New Roman"/>
          <w:sz w:val="32"/>
          <w:szCs w:val="32"/>
        </w:rPr>
      </w:pPr>
      <w:r>
        <w:rPr>
          <w:rFonts w:hint="eastAsia" w:cs="Times New Roman" w:asciiTheme="minorEastAsia" w:hAnsiTheme="minorEastAsia"/>
          <w:b/>
          <w:bCs/>
          <w:sz w:val="32"/>
          <w:szCs w:val="32"/>
        </w:rPr>
        <w:t>信息化应用建设及推广使用项目：</w:t>
      </w:r>
      <w:r>
        <w:rPr>
          <w:rFonts w:hint="eastAsia" w:cs="Times New Roman" w:asciiTheme="minorEastAsia" w:hAnsiTheme="minorEastAsia"/>
          <w:sz w:val="32"/>
          <w:szCs w:val="32"/>
        </w:rPr>
        <w:t>为做好智慧型校园工程，为教学质量诊改提供数据平台，进而全面提高我院教育教学质量，学院信息化建设工程全面启动。在做好网站群、公众号群、微校、易班、钉钉、学习强国平台建设运维管理的基础上，加大力度做好教务管理平台建设实施工作和使用管理运维服务，探索建设共享数据库，开发OA办公系统智能型校园联网系统。在硬件方面，完成全院各楼宇综合布线整改及有线无线网络融合改造，校园网中心机房核心设备更新等工作。</w:t>
      </w:r>
    </w:p>
    <w:p>
      <w:pPr>
        <w:spacing w:line="600" w:lineRule="exact"/>
        <w:rPr>
          <w:rFonts w:ascii="仿宋" w:hAnsi="仿宋" w:eastAsia="仿宋" w:cs="Times New Roman"/>
          <w:sz w:val="32"/>
          <w:szCs w:val="32"/>
        </w:rPr>
      </w:pPr>
      <w:r>
        <w:rPr>
          <w:rFonts w:hint="eastAsia" w:ascii="仿宋" w:hAnsi="仿宋" w:eastAsia="仿宋" w:cs="Times New Roman"/>
          <w:color w:val="C55A11" w:themeColor="accent2" w:themeShade="BF"/>
          <w:sz w:val="32"/>
          <w:szCs w:val="32"/>
        </w:rPr>
        <w:t>【案例1</w:t>
      </w:r>
      <w:r>
        <w:rPr>
          <w:rFonts w:ascii="仿宋" w:hAnsi="仿宋" w:eastAsia="仿宋" w:cs="Times New Roman"/>
          <w:color w:val="C55A11" w:themeColor="accent2" w:themeShade="BF"/>
          <w:sz w:val="32"/>
          <w:szCs w:val="32"/>
        </w:rPr>
        <w:t>7</w:t>
      </w:r>
      <w:r>
        <w:rPr>
          <w:rFonts w:hint="eastAsia" w:ascii="仿宋" w:hAnsi="仿宋" w:eastAsia="仿宋" w:cs="Times New Roman"/>
          <w:color w:val="C55A11" w:themeColor="accent2" w:themeShade="BF"/>
          <w:sz w:val="32"/>
          <w:szCs w:val="32"/>
        </w:rPr>
        <w:t>】示范校建设出成果</w:t>
      </w:r>
    </w:p>
    <w:p>
      <w:pPr>
        <w:ind w:firstLine="640" w:firstLineChars="200"/>
        <w:rPr>
          <w:rFonts w:ascii="仿宋" w:hAnsi="仿宋" w:eastAsia="仿宋" w:cs="Times New Roman"/>
          <w:sz w:val="32"/>
          <w:szCs w:val="32"/>
        </w:rPr>
      </w:pPr>
      <w:r>
        <w:rPr>
          <w:rFonts w:ascii="仿宋" w:hAnsi="仿宋" w:eastAsia="仿宋" w:cs="Times New Roman"/>
          <w:sz w:val="32"/>
          <w:szCs w:val="32"/>
        </w:rPr>
        <w:t>在</w:t>
      </w:r>
      <w:r>
        <w:rPr>
          <w:rFonts w:hint="eastAsia" w:ascii="仿宋" w:hAnsi="仿宋" w:eastAsia="仿宋" w:cs="Times New Roman"/>
          <w:sz w:val="32"/>
          <w:szCs w:val="32"/>
        </w:rPr>
        <w:t>自治区示范性高职院</w:t>
      </w:r>
      <w:r>
        <w:rPr>
          <w:rFonts w:ascii="仿宋" w:hAnsi="仿宋" w:eastAsia="仿宋" w:cs="Times New Roman"/>
          <w:sz w:val="32"/>
          <w:szCs w:val="32"/>
        </w:rPr>
        <w:t>校建设</w:t>
      </w:r>
      <w:r>
        <w:rPr>
          <w:rFonts w:hint="eastAsia" w:ascii="仿宋" w:hAnsi="仿宋" w:eastAsia="仿宋" w:cs="Times New Roman"/>
          <w:sz w:val="32"/>
          <w:szCs w:val="32"/>
        </w:rPr>
        <w:t>过程</w:t>
      </w:r>
      <w:r>
        <w:rPr>
          <w:rFonts w:ascii="仿宋" w:hAnsi="仿宋" w:eastAsia="仿宋" w:cs="Times New Roman"/>
          <w:sz w:val="32"/>
          <w:szCs w:val="32"/>
        </w:rPr>
        <w:t>中，学院</w:t>
      </w:r>
      <w:r>
        <w:rPr>
          <w:rStyle w:val="21"/>
          <w:rFonts w:ascii="仿宋" w:hAnsi="仿宋" w:eastAsia="仿宋" w:cs="Times New Roman"/>
          <w:bCs/>
          <w:kern w:val="10"/>
          <w:sz w:val="32"/>
          <w:szCs w:val="32"/>
        </w:rPr>
        <w:t>紧紧围绕建设目标，</w:t>
      </w:r>
      <w:r>
        <w:rPr>
          <w:rFonts w:hint="eastAsia" w:ascii="仿宋" w:hAnsi="仿宋" w:eastAsia="仿宋" w:cs="Times New Roman"/>
          <w:sz w:val="32"/>
          <w:szCs w:val="32"/>
        </w:rPr>
        <w:t>深入实施五</w:t>
      </w:r>
      <w:r>
        <w:rPr>
          <w:rFonts w:ascii="仿宋" w:hAnsi="仿宋" w:eastAsia="仿宋" w:cs="Times New Roman"/>
          <w:sz w:val="32"/>
          <w:szCs w:val="32"/>
        </w:rPr>
        <w:t>项举措：</w:t>
      </w:r>
      <w:r>
        <w:rPr>
          <w:rFonts w:ascii="仿宋" w:hAnsi="仿宋" w:eastAsia="仿宋" w:cs="Times New Roman"/>
          <w:b/>
          <w:bCs/>
          <w:sz w:val="32"/>
          <w:szCs w:val="32"/>
        </w:rPr>
        <w:t>一是</w:t>
      </w:r>
      <w:r>
        <w:rPr>
          <w:rFonts w:hint="eastAsia" w:ascii="仿宋" w:hAnsi="仿宋" w:eastAsia="仿宋" w:cs="Times New Roman"/>
          <w:b/>
          <w:bCs/>
          <w:sz w:val="32"/>
          <w:szCs w:val="32"/>
        </w:rPr>
        <w:t>抓规划建设。</w:t>
      </w:r>
      <w:r>
        <w:rPr>
          <w:rStyle w:val="21"/>
          <w:rFonts w:ascii="仿宋" w:hAnsi="仿宋" w:eastAsia="仿宋" w:cs="Times New Roman"/>
          <w:bCs/>
          <w:kern w:val="10"/>
          <w:sz w:val="32"/>
          <w:szCs w:val="32"/>
        </w:rPr>
        <w:t>近三年通过上级拨款、地方投入、学院自筹等方式累计投入资金2.3亿元，学院办学条件发生了显著变化，校园旧貌换新颜。</w:t>
      </w:r>
      <w:r>
        <w:rPr>
          <w:rStyle w:val="21"/>
          <w:rFonts w:hint="eastAsia" w:ascii="仿宋" w:hAnsi="仿宋" w:eastAsia="仿宋" w:cs="Times New Roman"/>
          <w:b/>
          <w:kern w:val="10"/>
          <w:sz w:val="32"/>
          <w:szCs w:val="32"/>
        </w:rPr>
        <w:t>二是抓教学改革。</w:t>
      </w:r>
      <w:r>
        <w:rPr>
          <w:rStyle w:val="21"/>
          <w:rFonts w:ascii="仿宋" w:hAnsi="仿宋" w:eastAsia="仿宋" w:cs="Times New Roman"/>
          <w:bCs/>
          <w:kern w:val="10"/>
          <w:sz w:val="32"/>
          <w:szCs w:val="32"/>
        </w:rPr>
        <w:t>全面推行“理实一体化”教学模式，把课堂延伸到实验室、实训车间和工作岗位，将实践性教学课时提高到50%以上。</w:t>
      </w:r>
      <w:r>
        <w:rPr>
          <w:rStyle w:val="21"/>
          <w:rFonts w:hint="eastAsia" w:ascii="仿宋" w:hAnsi="仿宋" w:eastAsia="仿宋" w:cs="Times New Roman"/>
          <w:bCs/>
          <w:kern w:val="10"/>
          <w:sz w:val="32"/>
          <w:szCs w:val="32"/>
        </w:rPr>
        <w:t>大力</w:t>
      </w:r>
      <w:r>
        <w:rPr>
          <w:rStyle w:val="21"/>
          <w:rFonts w:ascii="仿宋" w:hAnsi="仿宋" w:eastAsia="仿宋" w:cs="Times New Roman"/>
          <w:bCs/>
          <w:kern w:val="10"/>
          <w:sz w:val="32"/>
          <w:szCs w:val="32"/>
        </w:rPr>
        <w:t>实施学分制</w:t>
      </w:r>
      <w:r>
        <w:rPr>
          <w:rStyle w:val="21"/>
          <w:rFonts w:hint="eastAsia" w:ascii="仿宋" w:hAnsi="仿宋" w:eastAsia="仿宋" w:cs="Times New Roman"/>
          <w:bCs/>
          <w:kern w:val="10"/>
          <w:sz w:val="32"/>
          <w:szCs w:val="32"/>
        </w:rPr>
        <w:t>管理</w:t>
      </w:r>
      <w:r>
        <w:rPr>
          <w:rStyle w:val="21"/>
          <w:rFonts w:ascii="仿宋" w:hAnsi="仿宋" w:eastAsia="仿宋" w:cs="Times New Roman"/>
          <w:bCs/>
          <w:kern w:val="10"/>
          <w:sz w:val="32"/>
          <w:szCs w:val="32"/>
        </w:rPr>
        <w:t>，</w:t>
      </w:r>
      <w:r>
        <w:rPr>
          <w:rStyle w:val="21"/>
          <w:rFonts w:hint="eastAsia" w:ascii="仿宋" w:hAnsi="仿宋" w:eastAsia="仿宋" w:cs="Times New Roman"/>
          <w:bCs/>
          <w:kern w:val="10"/>
          <w:sz w:val="32"/>
          <w:szCs w:val="32"/>
        </w:rPr>
        <w:t>深入</w:t>
      </w:r>
      <w:r>
        <w:rPr>
          <w:rStyle w:val="21"/>
          <w:rFonts w:ascii="仿宋" w:hAnsi="仿宋" w:eastAsia="仿宋" w:cs="Times New Roman"/>
          <w:bCs/>
          <w:kern w:val="10"/>
          <w:sz w:val="32"/>
          <w:szCs w:val="32"/>
        </w:rPr>
        <w:t>实施学生评教制度，学生评教、同行评教、系部和学院评教“多元评教机制”已经形成。</w:t>
      </w:r>
      <w:r>
        <w:rPr>
          <w:rStyle w:val="21"/>
          <w:rFonts w:hint="eastAsia" w:ascii="仿宋" w:hAnsi="仿宋" w:eastAsia="仿宋" w:cs="Times New Roman"/>
          <w:bCs/>
          <w:kern w:val="10"/>
          <w:sz w:val="32"/>
          <w:szCs w:val="32"/>
        </w:rPr>
        <w:t>全面推行“校企合作、工学结合、双主体育人”人才培养模式，与100多家企事业单位开展校企合作、订单培养。</w:t>
      </w:r>
      <w:r>
        <w:rPr>
          <w:rFonts w:hint="eastAsia" w:ascii="仿宋" w:hAnsi="仿宋" w:eastAsia="仿宋" w:cs="Times New Roman"/>
          <w:b/>
          <w:bCs/>
          <w:sz w:val="32"/>
          <w:szCs w:val="32"/>
        </w:rPr>
        <w:t>三是抓队伍建设。</w:t>
      </w:r>
      <w:r>
        <w:rPr>
          <w:rFonts w:hint="eastAsia" w:ascii="仿宋" w:hAnsi="仿宋" w:eastAsia="仿宋" w:cs="Times New Roman"/>
          <w:sz w:val="32"/>
          <w:szCs w:val="32"/>
        </w:rPr>
        <w:t>组织实施专业领军人才、专业带头人和骨干教师评选，组建版画、药学等一批“名师工作室”，开展“青蓝工程”师徒课堂技能大赛，鼓励教师参加各级各类技能大赛和进校入企学习实践，加强“双师型”教师培养，形成以老带新、双向促进的教师培养机制。</w:t>
      </w:r>
      <w:r>
        <w:rPr>
          <w:rStyle w:val="21"/>
          <w:rFonts w:ascii="仿宋" w:hAnsi="仿宋" w:eastAsia="仿宋" w:cs="Times New Roman"/>
          <w:bCs/>
          <w:sz w:val="32"/>
          <w:szCs w:val="32"/>
        </w:rPr>
        <w:t>大力实施“引才工程”，</w:t>
      </w:r>
      <w:r>
        <w:rPr>
          <w:rStyle w:val="21"/>
          <w:rFonts w:hint="eastAsia" w:ascii="仿宋" w:hAnsi="仿宋" w:eastAsia="仿宋" w:cs="Times New Roman"/>
          <w:bCs/>
          <w:sz w:val="32"/>
          <w:szCs w:val="32"/>
        </w:rPr>
        <w:t>近三年来</w:t>
      </w:r>
      <w:r>
        <w:rPr>
          <w:rStyle w:val="21"/>
          <w:rFonts w:ascii="仿宋" w:hAnsi="仿宋" w:eastAsia="仿宋" w:cs="Times New Roman"/>
          <w:bCs/>
          <w:sz w:val="32"/>
          <w:szCs w:val="32"/>
        </w:rPr>
        <w:t>通过人才引进和公开招聘的方式引进硕士研究生等</w:t>
      </w:r>
      <w:r>
        <w:rPr>
          <w:rStyle w:val="21"/>
          <w:rFonts w:hint="eastAsia" w:ascii="仿宋" w:hAnsi="仿宋" w:eastAsia="仿宋" w:cs="Times New Roman"/>
          <w:bCs/>
          <w:sz w:val="32"/>
          <w:szCs w:val="32"/>
        </w:rPr>
        <w:t>各</w:t>
      </w:r>
      <w:r>
        <w:rPr>
          <w:rStyle w:val="21"/>
          <w:rFonts w:ascii="仿宋" w:hAnsi="仿宋" w:eastAsia="仿宋" w:cs="Times New Roman"/>
          <w:bCs/>
          <w:sz w:val="32"/>
          <w:szCs w:val="32"/>
        </w:rPr>
        <w:t>类人才146人，一支数量充足、结构合理、素质优良的教师队伍初步形成。</w:t>
      </w:r>
      <w:r>
        <w:rPr>
          <w:rFonts w:ascii="仿宋" w:hAnsi="仿宋" w:eastAsia="仿宋" w:cs="Times New Roman"/>
          <w:sz w:val="32"/>
          <w:szCs w:val="32"/>
        </w:rPr>
        <w:t>示范校</w:t>
      </w:r>
      <w:r>
        <w:rPr>
          <w:rFonts w:hint="eastAsia" w:ascii="仿宋" w:hAnsi="仿宋" w:eastAsia="仿宋" w:cs="Times New Roman"/>
          <w:sz w:val="32"/>
          <w:szCs w:val="32"/>
        </w:rPr>
        <w:t>建设启动以来，学院办学综合实力和社会影响力逐年提升，涌现出一批</w:t>
      </w:r>
      <w:r>
        <w:rPr>
          <w:rFonts w:ascii="仿宋" w:hAnsi="仿宋" w:eastAsia="仿宋" w:cs="Times New Roman"/>
          <w:sz w:val="32"/>
          <w:szCs w:val="32"/>
        </w:rPr>
        <w:t>标志性</w:t>
      </w:r>
      <w:r>
        <w:rPr>
          <w:rFonts w:hint="eastAsia" w:ascii="仿宋" w:hAnsi="仿宋" w:eastAsia="仿宋" w:cs="Times New Roman"/>
          <w:sz w:val="32"/>
          <w:szCs w:val="32"/>
        </w:rPr>
        <w:t>办学</w:t>
      </w:r>
      <w:r>
        <w:rPr>
          <w:rFonts w:ascii="仿宋" w:hAnsi="仿宋" w:eastAsia="仿宋" w:cs="Times New Roman"/>
          <w:sz w:val="32"/>
          <w:szCs w:val="32"/>
        </w:rPr>
        <w:t>成果。</w:t>
      </w:r>
      <w:r>
        <w:rPr>
          <w:rFonts w:hint="eastAsia" w:ascii="仿宋" w:hAnsi="仿宋" w:eastAsia="仿宋" w:cs="Times New Roman"/>
          <w:sz w:val="32"/>
          <w:szCs w:val="32"/>
        </w:rPr>
        <w:t>2018年</w:t>
      </w:r>
      <w:r>
        <w:rPr>
          <w:rFonts w:ascii="仿宋" w:hAnsi="仿宋" w:eastAsia="仿宋" w:cs="Times New Roman"/>
          <w:sz w:val="32"/>
          <w:szCs w:val="32"/>
        </w:rPr>
        <w:t>我院获自治区级高等教育教学成果二等奖</w:t>
      </w:r>
      <w:r>
        <w:rPr>
          <w:rFonts w:hint="eastAsia" w:ascii="仿宋" w:hAnsi="仿宋" w:eastAsia="仿宋" w:cs="Times New Roman"/>
          <w:sz w:val="32"/>
          <w:szCs w:val="32"/>
        </w:rPr>
        <w:t>1项，</w:t>
      </w:r>
      <w:r>
        <w:rPr>
          <w:rFonts w:ascii="仿宋" w:hAnsi="仿宋" w:eastAsia="仿宋" w:cs="Times New Roman"/>
          <w:sz w:val="32"/>
          <w:szCs w:val="32"/>
        </w:rPr>
        <w:t>师生创新项目获大学生“互联网+”创新创业全国铜奖、自治区金奖</w:t>
      </w:r>
      <w:r>
        <w:rPr>
          <w:rFonts w:hint="eastAsia" w:ascii="仿宋" w:hAnsi="仿宋" w:eastAsia="仿宋" w:cs="Times New Roman"/>
          <w:sz w:val="32"/>
          <w:szCs w:val="32"/>
        </w:rPr>
        <w:t>；</w:t>
      </w:r>
      <w:r>
        <w:rPr>
          <w:rFonts w:ascii="仿宋" w:hAnsi="仿宋" w:eastAsia="仿宋" w:cs="Times New Roman"/>
          <w:sz w:val="32"/>
          <w:szCs w:val="32"/>
        </w:rPr>
        <w:t>2019年</w:t>
      </w:r>
      <w:r>
        <w:rPr>
          <w:rFonts w:hint="eastAsia" w:ascii="仿宋" w:hAnsi="仿宋" w:eastAsia="仿宋" w:cs="Times New Roman"/>
          <w:sz w:val="32"/>
          <w:szCs w:val="32"/>
        </w:rPr>
        <w:t>学院</w:t>
      </w:r>
      <w:r>
        <w:rPr>
          <w:rFonts w:ascii="仿宋" w:hAnsi="仿宋" w:eastAsia="仿宋" w:cs="Times New Roman"/>
          <w:sz w:val="32"/>
          <w:szCs w:val="32"/>
        </w:rPr>
        <w:t>被教育部首批认证为“1+X老年照护证书”试点院校</w:t>
      </w:r>
      <w:r>
        <w:rPr>
          <w:rFonts w:hint="eastAsia" w:ascii="仿宋" w:hAnsi="仿宋" w:eastAsia="仿宋" w:cs="Times New Roman"/>
          <w:sz w:val="32"/>
          <w:szCs w:val="32"/>
        </w:rPr>
        <w:t>，并先后获评</w:t>
      </w:r>
      <w:r>
        <w:rPr>
          <w:rFonts w:ascii="仿宋" w:hAnsi="仿宋" w:eastAsia="仿宋" w:cs="Times New Roman"/>
          <w:sz w:val="32"/>
          <w:szCs w:val="32"/>
        </w:rPr>
        <w:t>自治区园林式单位</w:t>
      </w:r>
      <w:r>
        <w:rPr>
          <w:rFonts w:hint="eastAsia" w:ascii="仿宋" w:hAnsi="仿宋" w:eastAsia="仿宋" w:cs="Times New Roman"/>
          <w:sz w:val="32"/>
          <w:szCs w:val="32"/>
        </w:rPr>
        <w:t>、</w:t>
      </w:r>
      <w:r>
        <w:rPr>
          <w:rFonts w:ascii="仿宋" w:hAnsi="仿宋" w:eastAsia="仿宋" w:cs="Times New Roman"/>
          <w:sz w:val="32"/>
          <w:szCs w:val="32"/>
        </w:rPr>
        <w:t>自治区文明单位</w:t>
      </w:r>
      <w:r>
        <w:rPr>
          <w:rFonts w:hint="eastAsia" w:ascii="仿宋" w:hAnsi="仿宋" w:eastAsia="仿宋" w:cs="Times New Roman"/>
          <w:sz w:val="32"/>
          <w:szCs w:val="32"/>
        </w:rPr>
        <w:t>，</w:t>
      </w:r>
      <w:r>
        <w:rPr>
          <w:rFonts w:ascii="仿宋" w:hAnsi="仿宋" w:eastAsia="仿宋" w:cs="Times New Roman"/>
          <w:sz w:val="32"/>
          <w:szCs w:val="32"/>
        </w:rPr>
        <w:t>学院</w:t>
      </w:r>
      <w:r>
        <w:rPr>
          <w:rFonts w:hint="eastAsia" w:ascii="仿宋" w:hAnsi="仿宋" w:eastAsia="仿宋" w:cs="Times New Roman"/>
          <w:sz w:val="32"/>
          <w:szCs w:val="32"/>
        </w:rPr>
        <w:t>公寓党支部</w:t>
      </w:r>
      <w:r>
        <w:rPr>
          <w:rFonts w:ascii="仿宋" w:hAnsi="仿宋" w:eastAsia="仿宋" w:cs="Times New Roman"/>
          <w:sz w:val="32"/>
          <w:szCs w:val="32"/>
        </w:rPr>
        <w:t>被</w:t>
      </w:r>
      <w:r>
        <w:rPr>
          <w:rFonts w:hint="eastAsia" w:ascii="仿宋" w:hAnsi="仿宋" w:eastAsia="仿宋" w:cs="Times New Roman"/>
          <w:sz w:val="32"/>
          <w:szCs w:val="32"/>
        </w:rPr>
        <w:t>评为</w:t>
      </w:r>
      <w:r>
        <w:rPr>
          <w:rFonts w:ascii="仿宋" w:hAnsi="仿宋" w:eastAsia="仿宋" w:cs="Times New Roman"/>
          <w:sz w:val="32"/>
          <w:szCs w:val="32"/>
        </w:rPr>
        <w:t>“全国党建示范</w:t>
      </w:r>
      <w:r>
        <w:rPr>
          <w:rFonts w:hint="eastAsia" w:ascii="仿宋" w:hAnsi="仿宋" w:eastAsia="仿宋" w:cs="Times New Roman"/>
          <w:sz w:val="32"/>
          <w:szCs w:val="32"/>
        </w:rPr>
        <w:t>支部</w:t>
      </w:r>
      <w:r>
        <w:rPr>
          <w:rFonts w:ascii="仿宋" w:hAnsi="仿宋" w:eastAsia="仿宋" w:cs="Times New Roman"/>
          <w:sz w:val="32"/>
          <w:szCs w:val="32"/>
        </w:rPr>
        <w:t>”</w:t>
      </w:r>
      <w:r>
        <w:rPr>
          <w:rFonts w:hint="eastAsia" w:ascii="仿宋" w:hAnsi="仿宋" w:eastAsia="仿宋" w:cs="Times New Roman"/>
          <w:sz w:val="32"/>
          <w:szCs w:val="32"/>
        </w:rPr>
        <w:t>。</w:t>
      </w: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rPr>
          <w:rFonts w:ascii="仿宋" w:hAnsi="仿宋" w:eastAsia="仿宋" w:cs="Times New Roman"/>
          <w:sz w:val="32"/>
          <w:szCs w:val="32"/>
        </w:rPr>
      </w:pPr>
    </w:p>
    <w:p>
      <w:pPr>
        <w:pStyle w:val="2"/>
      </w:pPr>
      <w:bookmarkStart w:id="42" w:name="_Toc28254454"/>
      <w:bookmarkStart w:id="43" w:name="_Toc16712"/>
      <w:bookmarkStart w:id="44" w:name="_Toc1610"/>
      <w:r>
        <w:rPr>
          <w:rFonts w:hint="eastAsia"/>
        </w:rPr>
        <w:t>4</w:t>
      </w:r>
      <w:r>
        <w:t xml:space="preserve"> 服务贡献</w:t>
      </w:r>
      <w:bookmarkEnd w:id="42"/>
      <w:bookmarkEnd w:id="43"/>
      <w:bookmarkEnd w:id="44"/>
    </w:p>
    <w:p>
      <w:pPr>
        <w:pStyle w:val="3"/>
      </w:pPr>
      <w:bookmarkStart w:id="45" w:name="_Toc13588"/>
      <w:bookmarkStart w:id="46" w:name="_Toc28254456"/>
      <w:r>
        <w:rPr>
          <w:rFonts w:hint="eastAsia"/>
        </w:rPr>
        <w:t>4</w:t>
      </w:r>
      <w:r>
        <w:t>.1科技</w:t>
      </w:r>
      <w:r>
        <w:rPr>
          <w:rFonts w:hint="eastAsia"/>
        </w:rPr>
        <w:t>服务</w:t>
      </w:r>
      <w:r>
        <w:t>创新</w:t>
      </w:r>
      <w:bookmarkEnd w:id="45"/>
      <w:bookmarkEnd w:id="46"/>
    </w:p>
    <w:p>
      <w:pPr>
        <w:ind w:firstLine="640"/>
        <w:rPr>
          <w:rFonts w:cs="仿宋_GB2312" w:asciiTheme="minorEastAsia" w:hAnsiTheme="minorEastAsia"/>
          <w:sz w:val="32"/>
          <w:szCs w:val="32"/>
        </w:rPr>
      </w:pPr>
      <w:r>
        <w:rPr>
          <w:rFonts w:hint="eastAsia" w:cs="仿宋_GB2312" w:asciiTheme="minorEastAsia" w:hAnsiTheme="minorEastAsia"/>
          <w:sz w:val="32"/>
          <w:szCs w:val="32"/>
        </w:rPr>
        <w:t>2019年6月，通辽职业学院与清华大学电子商务交易技术国家工程实验室、北京中清研信息技术研究院等就人才培养、产教融合、智库建设等方面工作，进行合作洽谈，并举办签约仪式。通过这些平台，学院教师带领学生，与企业技术人员共同进行科技进步创新活动，并取得明显成果。2019年，通辽职业学院在研科学研究项目84项，其中自治区高等学校科学研究项目18项，自治区高等教育“十三五”规划课题9项，自治区高校教学改革项目2项，自治区高教学会项目1项，院级课题54项。在所有的在研项目中，有30</w:t>
      </w:r>
      <w:r>
        <w:rPr>
          <w:rFonts w:hint="eastAsia" w:cs="宋体" w:asciiTheme="minorEastAsia" w:hAnsiTheme="minorEastAsia"/>
          <w:sz w:val="32"/>
          <w:szCs w:val="32"/>
        </w:rPr>
        <w:t>％</w:t>
      </w:r>
      <w:r>
        <w:rPr>
          <w:rFonts w:hint="eastAsia" w:cs="仿宋_GB2312" w:asciiTheme="minorEastAsia" w:hAnsiTheme="minorEastAsia"/>
          <w:sz w:val="32"/>
          <w:szCs w:val="32"/>
        </w:rPr>
        <w:t>的项目有相关行业（企业、医院、幼儿园等）的技术人员参与研究。</w:t>
      </w:r>
    </w:p>
    <w:p>
      <w:pPr>
        <w:jc w:val="center"/>
        <w:rPr>
          <w:rFonts w:asciiTheme="minorEastAsia" w:hAnsiTheme="minorEastAsia"/>
          <w:sz w:val="32"/>
          <w:szCs w:val="32"/>
        </w:rPr>
      </w:pPr>
      <w:r>
        <w:rPr>
          <w:rFonts w:asciiTheme="minorEastAsia" w:hAnsiTheme="minorEastAsia"/>
          <w:sz w:val="32"/>
          <w:szCs w:val="32"/>
        </w:rPr>
        <w:drawing>
          <wp:inline distT="0" distB="0" distL="114300" distR="114300">
            <wp:extent cx="4049395" cy="3314700"/>
            <wp:effectExtent l="0" t="0" r="8255" b="0"/>
            <wp:docPr id="21" name="图片 21" descr="f05420fa4f579cdfc12f8236c3eb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05420fa4f579cdfc12f8236c3eb680"/>
                    <pic:cNvPicPr>
                      <a:picLocks noChangeAspect="1"/>
                    </pic:cNvPicPr>
                  </pic:nvPicPr>
                  <pic:blipFill>
                    <a:blip r:embed="rId46"/>
                    <a:stretch>
                      <a:fillRect/>
                    </a:stretch>
                  </pic:blipFill>
                  <pic:spPr>
                    <a:xfrm>
                      <a:off x="0" y="0"/>
                      <a:ext cx="4095984" cy="3352836"/>
                    </a:xfrm>
                    <a:prstGeom prst="rect">
                      <a:avLst/>
                    </a:prstGeom>
                  </pic:spPr>
                </pic:pic>
              </a:graphicData>
            </a:graphic>
          </wp:inline>
        </w:drawing>
      </w:r>
    </w:p>
    <w:p>
      <w:pPr>
        <w:jc w:val="center"/>
        <w:rPr>
          <w:rFonts w:asciiTheme="minorEastAsia" w:hAnsiTheme="minorEastAsia"/>
          <w:sz w:val="32"/>
          <w:szCs w:val="32"/>
        </w:rPr>
      </w:pPr>
      <w:r>
        <w:rPr>
          <w:rFonts w:ascii="仿宋" w:hAnsi="仿宋" w:eastAsia="仿宋"/>
          <w:b/>
          <w:color w:val="C55A11" w:themeColor="accent2" w:themeShade="BF"/>
          <w:sz w:val="24"/>
          <w:szCs w:val="24"/>
        </w:rPr>
        <w:t>图4</w:t>
      </w:r>
      <w:r>
        <w:rPr>
          <w:rFonts w:hint="eastAsia" w:ascii="仿宋" w:hAnsi="仿宋" w:eastAsia="仿宋"/>
          <w:b/>
          <w:color w:val="C55A11" w:themeColor="accent2" w:themeShade="BF"/>
          <w:sz w:val="24"/>
          <w:szCs w:val="24"/>
        </w:rPr>
        <w:t>-1：</w:t>
      </w:r>
      <w:r>
        <w:rPr>
          <w:rFonts w:hint="eastAsia" w:ascii="仿宋" w:hAnsi="仿宋" w:eastAsia="仿宋"/>
          <w:b/>
          <w:sz w:val="24"/>
          <w:szCs w:val="24"/>
        </w:rPr>
        <w:t>学院与清华大学电子商务交易技术国家工程实验室、北京中清研签约</w:t>
      </w:r>
    </w:p>
    <w:p>
      <w:pPr>
        <w:rPr>
          <w:rFonts w:ascii="仿宋" w:hAnsi="仿宋" w:eastAsia="仿宋" w:cs="仿宋_GB2312"/>
          <w:sz w:val="32"/>
          <w:szCs w:val="32"/>
        </w:rPr>
      </w:pPr>
      <w:r>
        <w:rPr>
          <w:rFonts w:hint="eastAsia" w:ascii="仿宋" w:hAnsi="仿宋" w:eastAsia="仿宋" w:cs="仿宋_GB2312"/>
          <w:color w:val="C55A11" w:themeColor="accent2" w:themeShade="BF"/>
          <w:sz w:val="32"/>
          <w:szCs w:val="32"/>
        </w:rPr>
        <w:t>【案例1</w:t>
      </w:r>
      <w:r>
        <w:rPr>
          <w:rFonts w:ascii="仿宋" w:hAnsi="仿宋" w:eastAsia="仿宋" w:cs="仿宋_GB2312"/>
          <w:color w:val="C55A11" w:themeColor="accent2" w:themeShade="BF"/>
          <w:sz w:val="32"/>
          <w:szCs w:val="32"/>
        </w:rPr>
        <w:t>8</w:t>
      </w:r>
      <w:r>
        <w:rPr>
          <w:rFonts w:hint="eastAsia" w:ascii="仿宋" w:hAnsi="仿宋" w:eastAsia="仿宋" w:cs="仿宋_GB2312"/>
          <w:color w:val="C55A11" w:themeColor="accent2" w:themeShade="BF"/>
          <w:sz w:val="32"/>
          <w:szCs w:val="32"/>
        </w:rPr>
        <w:t>】潜心研究出成果 服务师生贡献大</w:t>
      </w:r>
    </w:p>
    <w:p>
      <w:pPr>
        <w:ind w:firstLine="640" w:firstLineChars="200"/>
        <w:rPr>
          <w:rFonts w:ascii="仿宋" w:hAnsi="仿宋" w:eastAsia="仿宋"/>
          <w:bCs/>
          <w:sz w:val="32"/>
          <w:szCs w:val="32"/>
        </w:rPr>
      </w:pPr>
      <w:r>
        <w:rPr>
          <w:rFonts w:hint="eastAsia" w:ascii="仿宋" w:hAnsi="仿宋" w:eastAsia="仿宋"/>
          <w:bCs/>
          <w:sz w:val="32"/>
          <w:szCs w:val="32"/>
        </w:rPr>
        <w:t>我院药品食品系教师吕帅，潜心学习，刻苦专研，于2019年1月1日，获得了由国家知识产权局认证的“中华人民共和国专利代理人考试资格证书”，并在业余时间利用所学知识，协助本单位人员申请专利10余件，激发了学院老师创新的积极性，先后协助企事业单位办理专利百余件，推动了科技的创新，为学院及社会的专利、知识产权保护提供更便利、更优质的服务。</w:t>
      </w:r>
    </w:p>
    <w:p>
      <w:pPr>
        <w:rPr>
          <w:rFonts w:ascii="仿宋" w:hAnsi="仿宋" w:eastAsia="仿宋"/>
          <w:bCs/>
          <w:sz w:val="32"/>
          <w:szCs w:val="32"/>
        </w:rPr>
      </w:pPr>
    </w:p>
    <w:p>
      <w:pPr>
        <w:rPr>
          <w:rFonts w:ascii="仿宋" w:hAnsi="仿宋" w:eastAsia="仿宋"/>
          <w:bCs/>
          <w:sz w:val="32"/>
          <w:szCs w:val="32"/>
        </w:rPr>
      </w:pPr>
    </w:p>
    <w:p>
      <w:pPr>
        <w:rPr>
          <w:rFonts w:ascii="仿宋" w:hAnsi="仿宋" w:eastAsia="仿宋"/>
          <w:bCs/>
          <w:sz w:val="32"/>
          <w:szCs w:val="32"/>
        </w:rPr>
      </w:pPr>
    </w:p>
    <w:p>
      <w:pPr>
        <w:rPr>
          <w:rFonts w:ascii="仿宋" w:hAnsi="仿宋" w:eastAsia="仿宋"/>
          <w:bCs/>
          <w:sz w:val="32"/>
          <w:szCs w:val="32"/>
        </w:rPr>
      </w:pPr>
    </w:p>
    <w:p>
      <w:pPr>
        <w:jc w:val="center"/>
        <w:rPr>
          <w:sz w:val="32"/>
          <w:szCs w:val="32"/>
        </w:rPr>
      </w:pPr>
      <w:r>
        <w:rPr>
          <w:rFonts w:hint="eastAsia" w:ascii="仿宋" w:hAnsi="仿宋" w:eastAsia="仿宋"/>
          <w:bCs/>
          <w:sz w:val="32"/>
          <w:szCs w:val="32"/>
        </w:rPr>
        <w:drawing>
          <wp:inline distT="0" distB="0" distL="0" distR="0">
            <wp:extent cx="4502150" cy="3575050"/>
            <wp:effectExtent l="0" t="0" r="0" b="0"/>
            <wp:docPr id="28" name="图片 13" descr="lADPDgQ9rY3UehPNAyrNBDg_1080_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lADPDgQ9rY3UehPNAyrNBDg_1080_810"/>
                    <pic:cNvPicPr>
                      <a:picLocks noChangeAspect="1"/>
                    </pic:cNvPicPr>
                  </pic:nvPicPr>
                  <pic:blipFill>
                    <a:blip r:embed="rId47">
                      <a:extLst>
                        <a:ext uri="{28A0092B-C50C-407E-A947-70E740481C1C}">
                          <a14:useLocalDpi xmlns:a14="http://schemas.microsoft.com/office/drawing/2010/main" val="0"/>
                        </a:ext>
                      </a:extLst>
                    </a:blip>
                    <a:srcRect r="6789" b="-4414"/>
                    <a:stretch>
                      <a:fillRect/>
                    </a:stretch>
                  </pic:blipFill>
                  <pic:spPr>
                    <a:xfrm>
                      <a:off x="0" y="0"/>
                      <a:ext cx="4516885" cy="3586751"/>
                    </a:xfrm>
                    <a:prstGeom prst="rect">
                      <a:avLst/>
                    </a:prstGeom>
                    <a:noFill/>
                    <a:ln>
                      <a:noFill/>
                    </a:ln>
                  </pic:spPr>
                </pic:pic>
              </a:graphicData>
            </a:graphic>
          </wp:inline>
        </w:drawing>
      </w:r>
    </w:p>
    <w:p>
      <w:pPr>
        <w:jc w:val="center"/>
        <w:rPr>
          <w:sz w:val="32"/>
          <w:szCs w:val="32"/>
        </w:rPr>
      </w:pPr>
      <w:r>
        <w:rPr>
          <w:rFonts w:ascii="仿宋" w:hAnsi="仿宋" w:eastAsia="仿宋"/>
          <w:b/>
          <w:color w:val="C55A11" w:themeColor="accent2" w:themeShade="BF"/>
          <w:sz w:val="24"/>
          <w:szCs w:val="24"/>
        </w:rPr>
        <w:t>图4</w:t>
      </w:r>
      <w:r>
        <w:rPr>
          <w:rFonts w:hint="eastAsia" w:ascii="仿宋" w:hAnsi="仿宋" w:eastAsia="仿宋"/>
          <w:b/>
          <w:color w:val="C55A11" w:themeColor="accent2" w:themeShade="BF"/>
          <w:sz w:val="24"/>
          <w:szCs w:val="24"/>
        </w:rPr>
        <w:t>-2：</w:t>
      </w:r>
      <w:r>
        <w:rPr>
          <w:rFonts w:hint="eastAsia" w:ascii="仿宋" w:hAnsi="仿宋" w:eastAsia="仿宋"/>
          <w:b/>
          <w:sz w:val="24"/>
          <w:szCs w:val="24"/>
        </w:rPr>
        <w:t>吕帅获国家专利代理人资格证书</w:t>
      </w:r>
    </w:p>
    <w:p>
      <w:pPr>
        <w:pStyle w:val="3"/>
      </w:pPr>
      <w:bookmarkStart w:id="47" w:name="_Toc5556"/>
      <w:bookmarkStart w:id="48" w:name="_Toc28254457"/>
      <w:r>
        <w:rPr>
          <w:rFonts w:hint="eastAsia"/>
        </w:rPr>
        <w:t>4</w:t>
      </w:r>
      <w:r>
        <w:t>.2 社会服务及培训</w:t>
      </w:r>
      <w:bookmarkEnd w:id="47"/>
      <w:bookmarkEnd w:id="48"/>
    </w:p>
    <w:p>
      <w:pPr>
        <w:ind w:firstLine="640" w:firstLineChars="200"/>
        <w:rPr>
          <w:sz w:val="32"/>
          <w:szCs w:val="32"/>
        </w:rPr>
      </w:pPr>
      <w:r>
        <w:rPr>
          <w:rFonts w:hint="eastAsia"/>
          <w:sz w:val="32"/>
          <w:szCs w:val="32"/>
        </w:rPr>
        <w:t>学院以重点专业（群）建设为依托，实施“双轮驱动”战略，发挥与行业企业紧密合作的优势，整合校内外各方面资源，集教学、培训、生产、研发、社会服务为一体，开展面向行业企业的技术开发与服务。近三年来，完成行业企业岗位技能培训、农牧民实用技术培训、退伍军人再就业培训、干部职工培训、就业再就业培训，开展的各类社会培训达19944人次。目前，截止到2019年上半年学院社会培训、职业技能鉴定培训等非学历教育培训已完成3731人次，创收421万；学历教育以电大开放教育为主2019年共招生1969人创近十年历史新高，在读人数总计4200多人。</w:t>
      </w:r>
    </w:p>
    <w:p>
      <w:pPr>
        <w:widowControl/>
        <w:jc w:val="center"/>
        <w:rPr>
          <w:rFonts w:ascii="仿宋" w:hAnsi="仿宋" w:eastAsia="仿宋" w:cs="微软雅黑"/>
          <w:b/>
          <w:color w:val="000000"/>
          <w:kern w:val="0"/>
          <w:sz w:val="24"/>
          <w:szCs w:val="24"/>
          <w:lang w:bidi="ar"/>
        </w:rPr>
      </w:pPr>
      <w:r>
        <w:rPr>
          <w:rFonts w:hint="eastAsia" w:ascii="仿宋" w:hAnsi="仿宋" w:eastAsia="仿宋" w:cs="微软雅黑"/>
          <w:b/>
          <w:kern w:val="0"/>
          <w:sz w:val="24"/>
          <w:szCs w:val="24"/>
          <w:lang w:bidi="ar"/>
        </w:rPr>
        <w:t>表4-</w:t>
      </w:r>
      <w:r>
        <w:rPr>
          <w:rFonts w:ascii="仿宋" w:hAnsi="仿宋" w:eastAsia="仿宋" w:cs="微软雅黑"/>
          <w:b/>
          <w:kern w:val="0"/>
          <w:sz w:val="24"/>
          <w:szCs w:val="24"/>
          <w:lang w:bidi="ar"/>
        </w:rPr>
        <w:t>1</w:t>
      </w:r>
      <w:r>
        <w:rPr>
          <w:rFonts w:hint="eastAsia" w:ascii="仿宋" w:hAnsi="仿宋" w:eastAsia="仿宋" w:cs="微软雅黑"/>
          <w:b/>
          <w:kern w:val="0"/>
          <w:sz w:val="24"/>
          <w:szCs w:val="24"/>
          <w:lang w:bidi="ar"/>
        </w:rPr>
        <w:t>：</w:t>
      </w:r>
      <w:r>
        <w:rPr>
          <w:rFonts w:hint="eastAsia" w:ascii="仿宋" w:hAnsi="仿宋" w:eastAsia="仿宋" w:cs="微软雅黑"/>
          <w:b/>
          <w:color w:val="000000"/>
          <w:kern w:val="0"/>
          <w:sz w:val="24"/>
          <w:szCs w:val="24"/>
          <w:lang w:bidi="ar"/>
        </w:rPr>
        <w:t>通辽职业学院近三年社会培训及职业技能培训一览表</w:t>
      </w:r>
    </w:p>
    <w:tbl>
      <w:tblPr>
        <w:tblStyle w:val="12"/>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6"/>
        <w:gridCol w:w="2076"/>
        <w:gridCol w:w="2077"/>
        <w:gridCol w:w="20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年份</w:t>
            </w:r>
          </w:p>
        </w:tc>
        <w:tc>
          <w:tcPr>
            <w:tcW w:w="2076"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2016年</w:t>
            </w:r>
          </w:p>
        </w:tc>
        <w:tc>
          <w:tcPr>
            <w:tcW w:w="2077"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2017年</w:t>
            </w:r>
          </w:p>
        </w:tc>
        <w:tc>
          <w:tcPr>
            <w:tcW w:w="2077"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2018年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社会培训</w:t>
            </w:r>
          </w:p>
        </w:tc>
        <w:tc>
          <w:tcPr>
            <w:tcW w:w="2076"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5017</w:t>
            </w:r>
          </w:p>
        </w:tc>
        <w:tc>
          <w:tcPr>
            <w:tcW w:w="2077"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7564</w:t>
            </w:r>
          </w:p>
        </w:tc>
        <w:tc>
          <w:tcPr>
            <w:tcW w:w="2077"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7364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66"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职业技能鉴定</w:t>
            </w:r>
          </w:p>
        </w:tc>
        <w:tc>
          <w:tcPr>
            <w:tcW w:w="2076"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1069</w:t>
            </w:r>
          </w:p>
        </w:tc>
        <w:tc>
          <w:tcPr>
            <w:tcW w:w="2077"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815</w:t>
            </w:r>
          </w:p>
        </w:tc>
        <w:tc>
          <w:tcPr>
            <w:tcW w:w="2077" w:type="dxa"/>
          </w:tcPr>
          <w:p>
            <w:pPr>
              <w:widowControl/>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lang w:bidi="ar"/>
              </w:rPr>
              <w:t>304</w:t>
            </w:r>
          </w:p>
        </w:tc>
      </w:tr>
    </w:tbl>
    <w:p>
      <w:pPr>
        <w:widowControl/>
        <w:ind w:firstLine="420" w:firstLineChars="200"/>
        <w:jc w:val="center"/>
        <w:rPr>
          <w:rFonts w:ascii="微软雅黑" w:hAnsi="微软雅黑" w:eastAsia="微软雅黑" w:cs="微软雅黑"/>
          <w:color w:val="000000"/>
          <w:kern w:val="0"/>
          <w:szCs w:val="21"/>
          <w:lang w:bidi="ar"/>
        </w:rPr>
      </w:pPr>
      <w:r>
        <w:rPr>
          <w:rFonts w:hint="eastAsia" w:ascii="微软雅黑" w:hAnsi="微软雅黑" w:eastAsia="微软雅黑" w:cs="微软雅黑"/>
          <w:color w:val="000000"/>
          <w:kern w:val="0"/>
          <w:szCs w:val="21"/>
        </w:rPr>
        <w:drawing>
          <wp:inline distT="0" distB="0" distL="114300" distR="114300">
            <wp:extent cx="4997450" cy="3810000"/>
            <wp:effectExtent l="0" t="0" r="12700" b="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jc w:val="center"/>
        <w:rPr>
          <w:sz w:val="32"/>
          <w:szCs w:val="32"/>
        </w:rPr>
      </w:pPr>
      <w:r>
        <w:rPr>
          <w:rFonts w:hint="eastAsia" w:ascii="仿宋" w:hAnsi="仿宋" w:eastAsia="仿宋" w:cs="微软雅黑"/>
          <w:b/>
          <w:color w:val="C55A11" w:themeColor="accent2" w:themeShade="BF"/>
          <w:kern w:val="0"/>
          <w:sz w:val="24"/>
          <w:szCs w:val="24"/>
          <w:lang w:bidi="ar"/>
        </w:rPr>
        <w:t>图4-</w:t>
      </w:r>
      <w:r>
        <w:rPr>
          <w:rFonts w:ascii="仿宋" w:hAnsi="仿宋" w:eastAsia="仿宋" w:cs="微软雅黑"/>
          <w:b/>
          <w:color w:val="C55A11" w:themeColor="accent2" w:themeShade="BF"/>
          <w:kern w:val="0"/>
          <w:sz w:val="24"/>
          <w:szCs w:val="24"/>
          <w:lang w:bidi="ar"/>
        </w:rPr>
        <w:t>3</w:t>
      </w:r>
      <w:r>
        <w:rPr>
          <w:rFonts w:hint="eastAsia" w:ascii="仿宋" w:hAnsi="仿宋" w:eastAsia="仿宋" w:cs="微软雅黑"/>
          <w:b/>
          <w:color w:val="C55A11" w:themeColor="accent2" w:themeShade="BF"/>
          <w:kern w:val="0"/>
          <w:sz w:val="24"/>
          <w:szCs w:val="24"/>
          <w:lang w:bidi="ar"/>
        </w:rPr>
        <w:t>：</w:t>
      </w:r>
      <w:r>
        <w:rPr>
          <w:rFonts w:hint="eastAsia" w:ascii="仿宋" w:hAnsi="仿宋" w:eastAsia="仿宋" w:cs="微软雅黑"/>
          <w:b/>
          <w:color w:val="000000"/>
          <w:kern w:val="0"/>
          <w:sz w:val="24"/>
          <w:szCs w:val="24"/>
          <w:lang w:bidi="ar"/>
        </w:rPr>
        <w:t>通辽职业学院近三年社会培训及职业技能培训柱状图</w:t>
      </w:r>
    </w:p>
    <w:p>
      <w:pPr>
        <w:rPr>
          <w:rFonts w:ascii="仿宋" w:hAnsi="仿宋" w:eastAsia="仿宋"/>
          <w:sz w:val="32"/>
          <w:szCs w:val="32"/>
        </w:rPr>
      </w:pPr>
      <w:r>
        <w:rPr>
          <w:rFonts w:hint="eastAsia" w:ascii="仿宋" w:hAnsi="仿宋" w:eastAsia="仿宋"/>
          <w:color w:val="C55A11" w:themeColor="accent2" w:themeShade="BF"/>
          <w:sz w:val="32"/>
          <w:szCs w:val="32"/>
        </w:rPr>
        <w:t>【案例</w:t>
      </w:r>
      <w:r>
        <w:rPr>
          <w:rFonts w:ascii="仿宋" w:hAnsi="仿宋" w:eastAsia="仿宋"/>
          <w:color w:val="C55A11" w:themeColor="accent2" w:themeShade="BF"/>
          <w:sz w:val="32"/>
          <w:szCs w:val="32"/>
        </w:rPr>
        <w:t>19</w:t>
      </w:r>
      <w:r>
        <w:rPr>
          <w:rFonts w:hint="eastAsia" w:ascii="仿宋" w:hAnsi="仿宋" w:eastAsia="仿宋"/>
          <w:color w:val="C55A11" w:themeColor="accent2" w:themeShade="BF"/>
          <w:sz w:val="32"/>
          <w:szCs w:val="32"/>
        </w:rPr>
        <w:t>】服务通辽 提升军人再就业能力</w:t>
      </w:r>
    </w:p>
    <w:p>
      <w:pPr>
        <w:ind w:firstLine="640" w:firstLineChars="200"/>
        <w:rPr>
          <w:sz w:val="32"/>
          <w:szCs w:val="32"/>
        </w:rPr>
      </w:pPr>
      <w:r>
        <w:rPr>
          <w:rFonts w:hint="eastAsia" w:ascii="仿宋" w:hAnsi="仿宋" w:eastAsia="仿宋"/>
          <w:sz w:val="32"/>
          <w:szCs w:val="32"/>
        </w:rPr>
        <w:t>为积极引导全社会正确认识和看待退役军人群体，在全社会营造关心关爱军人军属和退役军人的良好氛围，更要看到退役军人是经济社会建设的生力军，各行各业都有退役军人，各行各业也都离不开退役军人。由通辽职业学院具体承训，举办了2019退役军人消防员职业技能培训项目，参训退役军人81人，培训采取封闭的培训模式，授课内容分授课讲解、案例分析、技能操作等形式。培训结束考试合格后，培训机构颁发职业技能培训结业证书，并组织退役军人参加全区的职业技能鉴定，成绩合格的颁发相应等级的国家职业资格证书。组织退役军人专场招聘会，搭建退役军人与用人单位双向选择的平台，努力促进参加培训的退役军人就业，力争“培训一人、就业一人”，努力取得良好的社会效益。</w:t>
      </w:r>
    </w:p>
    <w:p>
      <w:pPr>
        <w:pStyle w:val="3"/>
      </w:pPr>
      <w:bookmarkStart w:id="49" w:name="_Toc26426"/>
      <w:bookmarkStart w:id="50" w:name="_Toc28254458"/>
      <w:r>
        <w:t>4.3 服务脱贫攻坚</w:t>
      </w:r>
      <w:r>
        <w:rPr>
          <w:rFonts w:hint="eastAsia"/>
        </w:rPr>
        <w:t>，</w:t>
      </w:r>
      <w:r>
        <w:t>抓牢</w:t>
      </w:r>
      <w:r>
        <w:rPr>
          <w:rFonts w:hint="eastAsia"/>
        </w:rPr>
        <w:t>“资助育人”</w:t>
      </w:r>
      <w:bookmarkEnd w:id="49"/>
      <w:bookmarkEnd w:id="50"/>
    </w:p>
    <w:p>
      <w:pPr>
        <w:ind w:firstLine="640" w:firstLineChars="200"/>
        <w:rPr>
          <w:sz w:val="32"/>
          <w:szCs w:val="32"/>
        </w:rPr>
      </w:pPr>
      <w:r>
        <w:rPr>
          <w:rFonts w:hint="eastAsia"/>
          <w:sz w:val="32"/>
          <w:szCs w:val="32"/>
        </w:rPr>
        <w:t>近年来，学院主动担当作为，创新举措推进精准扶贫工作，通过党建引领，在招生就业、学生资助、和社会培训服务等精准扶贫工作上取得了可喜的成绩。学院认真落实中央关于扶贫工作的有关精神，积极对接“京蒙对口”扶贫项目，让首都对口内蒙古通辽的扶贫种子在学院落地生根。</w:t>
      </w:r>
    </w:p>
    <w:p>
      <w:pPr>
        <w:ind w:firstLine="640" w:firstLineChars="200"/>
        <w:rPr>
          <w:sz w:val="32"/>
          <w:szCs w:val="32"/>
        </w:rPr>
      </w:pPr>
      <w:r>
        <w:rPr>
          <w:rFonts w:hint="eastAsia"/>
          <w:sz w:val="32"/>
          <w:szCs w:val="32"/>
        </w:rPr>
        <w:t>全院的扶贫工作形成了全方位、多层次的精准扶贫体系。同时，我院还结合少数民族地区的实际，因地制宜，有针对性的、有重点的为少数民族的贫困学生排忧解难，提供从升学到就业的一系列跟踪服务，确保他们从进口到出口的“零负担”就学，用实际行动来为通辽当地的精准扶贫工作贡献力量。</w:t>
      </w:r>
    </w:p>
    <w:p>
      <w:pPr>
        <w:rPr>
          <w:rFonts w:ascii="仿宋" w:hAnsi="仿宋" w:eastAsia="仿宋"/>
          <w:sz w:val="32"/>
          <w:szCs w:val="32"/>
        </w:rPr>
      </w:pPr>
      <w:r>
        <w:rPr>
          <w:rFonts w:hint="eastAsia" w:ascii="仿宋" w:hAnsi="仿宋" w:eastAsia="仿宋"/>
          <w:color w:val="C55A11" w:themeColor="accent2" w:themeShade="BF"/>
          <w:sz w:val="32"/>
          <w:szCs w:val="32"/>
        </w:rPr>
        <w:t>【案例2</w:t>
      </w:r>
      <w:r>
        <w:rPr>
          <w:rFonts w:ascii="仿宋" w:hAnsi="仿宋" w:eastAsia="仿宋"/>
          <w:color w:val="C55A11" w:themeColor="accent2" w:themeShade="BF"/>
          <w:sz w:val="32"/>
          <w:szCs w:val="32"/>
        </w:rPr>
        <w:t>0</w:t>
      </w:r>
      <w:r>
        <w:rPr>
          <w:rFonts w:hint="eastAsia" w:ascii="仿宋" w:hAnsi="仿宋" w:eastAsia="仿宋"/>
          <w:color w:val="C55A11" w:themeColor="accent2" w:themeShade="BF"/>
          <w:sz w:val="32"/>
          <w:szCs w:val="32"/>
        </w:rPr>
        <w:t>】搭建智力扶贫的平台 助力“通辽乡村振兴计划”</w:t>
      </w:r>
    </w:p>
    <w:p>
      <w:pPr>
        <w:ind w:firstLine="640" w:firstLineChars="200"/>
        <w:rPr>
          <w:rFonts w:ascii="仿宋" w:hAnsi="仿宋" w:eastAsia="仿宋"/>
          <w:sz w:val="32"/>
          <w:szCs w:val="32"/>
        </w:rPr>
      </w:pPr>
      <w:r>
        <w:rPr>
          <w:rFonts w:hint="eastAsia" w:ascii="仿宋" w:hAnsi="仿宋" w:eastAsia="仿宋"/>
          <w:sz w:val="32"/>
          <w:szCs w:val="32"/>
        </w:rPr>
        <w:t>在脱贫攻坚、精准扶贫的的工作中，充分发挥学院的社会培训的办学优势，积极投身到当地的扶贫工作中去。通过利用京蒙对口扶贫培训项目落地学院这一契机，为当地培养一批脱贫攻坚的实用人才，搭建智力扶贫的平台，仅2018-2019年度就为通辽当地的四个贫困旗县，培养了近千人的“脱贫致富代头人”的培训。</w:t>
      </w:r>
    </w:p>
    <w:p>
      <w:pPr>
        <w:ind w:firstLine="640" w:firstLineChars="200"/>
        <w:rPr>
          <w:rFonts w:ascii="仿宋" w:hAnsi="仿宋" w:eastAsia="仿宋"/>
          <w:sz w:val="32"/>
          <w:szCs w:val="32"/>
        </w:rPr>
      </w:pPr>
      <w:r>
        <w:rPr>
          <w:rFonts w:hint="eastAsia" w:ascii="仿宋" w:hAnsi="仿宋" w:eastAsia="仿宋"/>
          <w:sz w:val="32"/>
          <w:szCs w:val="32"/>
        </w:rPr>
        <w:t>与此同时，学院与国家开放大学签订合作协议实施了助力通辽的“千人乡村干部能力提升计划”。即在国家开放大学、内蒙古广播电视大学的支持下，实施千名农村牧区基层干部能力提升三年计划，着力培养一大批能够带领农牧民脱贫致富的乡村干部、致富能手和产业带头人。计划实施三年，学员仅仅支出一小部分费用，其它都免费学习。</w:t>
      </w:r>
    </w:p>
    <w:p>
      <w:pPr>
        <w:ind w:firstLine="640" w:firstLineChars="200"/>
        <w:rPr>
          <w:rFonts w:ascii="仿宋" w:hAnsi="仿宋" w:eastAsia="仿宋"/>
          <w:sz w:val="32"/>
          <w:szCs w:val="32"/>
        </w:rPr>
      </w:pPr>
      <w:r>
        <w:rPr>
          <w:rFonts w:hint="eastAsia" w:ascii="仿宋" w:hAnsi="仿宋" w:eastAsia="仿宋"/>
          <w:sz w:val="32"/>
          <w:szCs w:val="32"/>
        </w:rPr>
        <w:t>学院还与内蒙古电大合作进一步推进智力扶贫的力度，即扶“智”又扶“志”。近三年来，内蒙古电大通过通辽职业学院电大分校在通辽市辖区内，先后设立了六家“电大书屋”，内蒙古电大向每个书屋捐赠价值十万元的图书。通过“电大书屋”建设,为精准扶贫工作注入了活力，客观上也推动了扶贫工作的向纵深发展。</w:t>
      </w:r>
      <w:bookmarkStart w:id="71" w:name="_GoBack"/>
      <w:bookmarkEnd w:id="71"/>
    </w:p>
    <w:p>
      <w:pPr>
        <w:rPr>
          <w:rFonts w:ascii="仿宋" w:hAnsi="仿宋" w:eastAsia="仿宋"/>
          <w:sz w:val="32"/>
          <w:szCs w:val="32"/>
        </w:rPr>
      </w:pPr>
      <w:r>
        <w:rPr>
          <w:rFonts w:ascii="仿宋" w:hAnsi="仿宋" w:eastAsia="仿宋"/>
          <w:sz w:val="32"/>
          <w:szCs w:val="32"/>
        </w:rPr>
        <w:pict>
          <v:shape id="_x0000_i1028" o:spt="75" type="#_x0000_t75" style="height:260.95pt;width:414.1pt;" filled="f" o:preferrelative="t" stroked="f" coordsize="21600,21600">
            <v:path/>
            <v:fill on="f" focussize="0,0"/>
            <v:stroke on="f" joinstyle="miter"/>
            <v:imagedata r:id="rId49" o:title="未标题-1"/>
            <o:lock v:ext="edit" aspectratio="t"/>
            <w10:wrap type="none"/>
            <w10:anchorlock/>
          </v:shape>
        </w:pict>
      </w:r>
    </w:p>
    <w:p>
      <w:pPr>
        <w:jc w:val="center"/>
        <w:rPr>
          <w:rFonts w:ascii="仿宋" w:hAnsi="仿宋" w:eastAsia="仿宋"/>
          <w:sz w:val="32"/>
          <w:szCs w:val="32"/>
        </w:rPr>
      </w:pPr>
      <w:r>
        <w:rPr>
          <w:rFonts w:hint="eastAsia" w:ascii="仿宋" w:hAnsi="仿宋" w:eastAsia="仿宋" w:cs="微软雅黑"/>
          <w:b/>
          <w:color w:val="C55A11" w:themeColor="accent2" w:themeShade="BF"/>
          <w:kern w:val="0"/>
          <w:sz w:val="24"/>
          <w:szCs w:val="24"/>
          <w:lang w:bidi="ar"/>
        </w:rPr>
        <w:t>图4-</w:t>
      </w:r>
      <w:r>
        <w:rPr>
          <w:rFonts w:ascii="仿宋" w:hAnsi="仿宋" w:eastAsia="仿宋" w:cs="微软雅黑"/>
          <w:b/>
          <w:color w:val="C55A11" w:themeColor="accent2" w:themeShade="BF"/>
          <w:kern w:val="0"/>
          <w:sz w:val="24"/>
          <w:szCs w:val="24"/>
          <w:lang w:bidi="ar"/>
        </w:rPr>
        <w:t>4</w:t>
      </w:r>
      <w:r>
        <w:rPr>
          <w:rFonts w:hint="eastAsia" w:ascii="仿宋" w:hAnsi="仿宋" w:eastAsia="仿宋" w:cs="微软雅黑"/>
          <w:b/>
          <w:color w:val="C55A11" w:themeColor="accent2" w:themeShade="BF"/>
          <w:kern w:val="0"/>
          <w:sz w:val="24"/>
          <w:szCs w:val="24"/>
          <w:lang w:bidi="ar"/>
        </w:rPr>
        <w:t>：</w:t>
      </w:r>
      <w:r>
        <w:rPr>
          <w:rFonts w:hint="eastAsia" w:ascii="仿宋" w:hAnsi="仿宋" w:eastAsia="仿宋" w:cs="微软雅黑"/>
          <w:b/>
          <w:color w:val="000000"/>
          <w:kern w:val="0"/>
          <w:sz w:val="24"/>
          <w:szCs w:val="24"/>
          <w:lang w:bidi="ar"/>
        </w:rPr>
        <w:t>学院京蒙对口帮扶人才培训班</w: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pStyle w:val="2"/>
      </w:pPr>
      <w:bookmarkStart w:id="51" w:name="_Toc25126"/>
      <w:bookmarkStart w:id="52" w:name="_Toc28254459"/>
      <w:bookmarkStart w:id="53" w:name="_Toc32039"/>
      <w:r>
        <w:rPr>
          <w:rFonts w:hint="eastAsia"/>
        </w:rPr>
        <w:t>5</w:t>
      </w:r>
      <w:r>
        <w:t xml:space="preserve"> 国际合作</w:t>
      </w:r>
      <w:bookmarkEnd w:id="51"/>
      <w:bookmarkEnd w:id="52"/>
      <w:bookmarkEnd w:id="53"/>
    </w:p>
    <w:p>
      <w:pPr>
        <w:pStyle w:val="3"/>
      </w:pPr>
      <w:bookmarkStart w:id="54" w:name="_Toc28254460"/>
      <w:bookmarkStart w:id="55" w:name="_Toc1502"/>
      <w:r>
        <w:rPr>
          <w:rFonts w:hint="eastAsia"/>
        </w:rPr>
        <w:t>5</w:t>
      </w:r>
      <w:r>
        <w:t>.1 合作办学</w:t>
      </w:r>
      <w:bookmarkEnd w:id="54"/>
      <w:bookmarkEnd w:id="55"/>
    </w:p>
    <w:p>
      <w:pPr>
        <w:ind w:firstLine="640"/>
        <w:rPr>
          <w:rFonts w:ascii="仿宋" w:hAnsi="仿宋" w:eastAsia="仿宋" w:cs="仿宋"/>
          <w:sz w:val="32"/>
          <w:szCs w:val="32"/>
        </w:rPr>
      </w:pPr>
      <w:r>
        <w:rPr>
          <w:rFonts w:hint="eastAsia" w:ascii="仿宋" w:hAnsi="仿宋" w:eastAsia="仿宋" w:cs="仿宋"/>
          <w:sz w:val="32"/>
          <w:szCs w:val="32"/>
        </w:rPr>
        <w:t>2018年，学院与俄罗斯科斯特罗马国立大学签订合作框架协议，共建食品营养与检测、小学教育、机电一体化等专业，采取3+2人才培养模式，科斯塔罗马国立大学接受我院以上3个专业的学生继续就读本科及硕士研究生学位，提高我院人才培养层次和质量。</w:t>
      </w:r>
    </w:p>
    <w:p>
      <w:pPr>
        <w:ind w:firstLine="640"/>
        <w:rPr>
          <w:rFonts w:ascii="仿宋" w:hAnsi="仿宋" w:eastAsia="仿宋" w:cs="仿宋"/>
          <w:sz w:val="32"/>
          <w:szCs w:val="32"/>
        </w:rPr>
      </w:pPr>
      <w:r>
        <w:rPr>
          <w:rFonts w:hint="eastAsia" w:ascii="仿宋" w:hAnsi="仿宋" w:eastAsia="仿宋" w:cs="仿宋"/>
          <w:sz w:val="32"/>
          <w:szCs w:val="32"/>
        </w:rPr>
        <w:t>2019年我院继续与北京德典管理咨询有限公司合作，借助德国国家级人才计划—德国技术专家引入计划的职业教育开放政策，为我院优秀青年学习进入德国学习创造更多的机会，尝试双方合作事宜。</w:t>
      </w: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rPr>
          <w:sz w:val="32"/>
          <w:szCs w:val="32"/>
        </w:rPr>
      </w:pPr>
    </w:p>
    <w:p>
      <w:pPr>
        <w:pStyle w:val="2"/>
      </w:pPr>
      <w:bookmarkStart w:id="56" w:name="_Toc29809"/>
      <w:bookmarkStart w:id="57" w:name="_Toc28254464"/>
      <w:bookmarkStart w:id="58" w:name="_Toc2528"/>
      <w:r>
        <w:rPr>
          <w:rFonts w:hint="eastAsia"/>
        </w:rPr>
        <w:t>6</w:t>
      </w:r>
      <w:r>
        <w:t xml:space="preserve"> </w:t>
      </w:r>
      <w:r>
        <w:rPr>
          <w:rFonts w:hint="eastAsia"/>
        </w:rPr>
        <w:t>挑战与展望</w:t>
      </w:r>
      <w:bookmarkEnd w:id="56"/>
      <w:bookmarkEnd w:id="57"/>
      <w:bookmarkEnd w:id="58"/>
    </w:p>
    <w:p>
      <w:pPr>
        <w:pStyle w:val="3"/>
      </w:pPr>
      <w:bookmarkStart w:id="59" w:name="_Toc28254465"/>
      <w:bookmarkStart w:id="60" w:name="_Toc5619"/>
      <w:r>
        <w:rPr>
          <w:rFonts w:hint="eastAsia"/>
        </w:rPr>
        <w:t>6.1</w:t>
      </w:r>
      <w:r>
        <w:t xml:space="preserve"> </w:t>
      </w:r>
      <w:r>
        <w:rPr>
          <w:rFonts w:hint="eastAsia"/>
        </w:rPr>
        <w:t>面临挑战</w:t>
      </w:r>
      <w:bookmarkEnd w:id="59"/>
      <w:bookmarkEnd w:id="60"/>
    </w:p>
    <w:p>
      <w:pPr>
        <w:ind w:firstLine="643" w:firstLineChars="200"/>
        <w:rPr>
          <w:rFonts w:asciiTheme="minorEastAsia" w:hAnsiTheme="minorEastAsia"/>
          <w:sz w:val="32"/>
          <w:szCs w:val="32"/>
        </w:rPr>
      </w:pPr>
      <w:r>
        <w:rPr>
          <w:rFonts w:hint="eastAsia" w:asciiTheme="minorEastAsia" w:hAnsiTheme="minorEastAsia"/>
          <w:b/>
          <w:sz w:val="32"/>
          <w:szCs w:val="32"/>
        </w:rPr>
        <w:t>1.专业建设对接区域经济的挑战。</w:t>
      </w:r>
      <w:r>
        <w:rPr>
          <w:rFonts w:hint="eastAsia" w:asciiTheme="minorEastAsia" w:hAnsiTheme="minorEastAsia"/>
          <w:sz w:val="32"/>
          <w:szCs w:val="32"/>
        </w:rPr>
        <w:t>通辽市地处内蒙古腹地，农业和畜牧业比较发达，近年来市委市政府提出建设“九链五都”、建设草原名城的发展战略。面对地方经济发展需求，我院现有专业设置没有完全跟上地方经济发展的战略方向，专业设置转型、技能型人才培养方向需要在近几年内做出调整。</w:t>
      </w:r>
    </w:p>
    <w:p>
      <w:pPr>
        <w:ind w:firstLine="643" w:firstLineChars="200"/>
        <w:rPr>
          <w:rFonts w:asciiTheme="minorEastAsia" w:hAnsiTheme="minorEastAsia"/>
          <w:sz w:val="32"/>
          <w:szCs w:val="32"/>
        </w:rPr>
      </w:pPr>
      <w:r>
        <w:rPr>
          <w:rFonts w:hint="eastAsia" w:asciiTheme="minorEastAsia" w:hAnsiTheme="minorEastAsia"/>
          <w:b/>
          <w:sz w:val="32"/>
          <w:szCs w:val="32"/>
        </w:rPr>
        <w:t>2.健全职教联盟体系、发挥职教联盟作用方面面临挑战。</w:t>
      </w:r>
      <w:r>
        <w:rPr>
          <w:rFonts w:hint="eastAsia" w:asciiTheme="minorEastAsia" w:hAnsiTheme="minorEastAsia"/>
          <w:sz w:val="32"/>
          <w:szCs w:val="32"/>
        </w:rPr>
        <w:t>通辽职教联盟成立于2015年，通辽职业学院是第一届联盟理事长单位。在几年的发展过程中，我院起到了领头羊的作用，但是由于地方工业经济发展有限、实体经济力量薄弱，没有大的企业加入到联盟中，致使联盟的工作更多的是职业院校之间的活动，企业发挥的作用有限。</w:t>
      </w:r>
    </w:p>
    <w:p>
      <w:pPr>
        <w:ind w:firstLine="643" w:firstLineChars="200"/>
        <w:rPr>
          <w:rFonts w:asciiTheme="minorEastAsia" w:hAnsiTheme="minorEastAsia"/>
          <w:sz w:val="32"/>
          <w:szCs w:val="32"/>
        </w:rPr>
      </w:pPr>
      <w:r>
        <w:rPr>
          <w:rFonts w:hint="eastAsia" w:asciiTheme="minorEastAsia" w:hAnsiTheme="minorEastAsia"/>
          <w:b/>
          <w:sz w:val="32"/>
          <w:szCs w:val="32"/>
        </w:rPr>
        <w:t>3.新一代信息技术的挑战。</w:t>
      </w:r>
      <w:r>
        <w:rPr>
          <w:rFonts w:hint="eastAsia" w:asciiTheme="minorEastAsia" w:hAnsiTheme="minorEastAsia"/>
          <w:sz w:val="32"/>
          <w:szCs w:val="32"/>
        </w:rPr>
        <w:t>信息技术已经深入到教育教学的各个方面，并在教学改革、教学诊断工作中发挥着颠覆性的作用。2019年我院的信息化技术有了长足的发展，铺开的面儿越来越大，但是在教学课堂、资源库建设、诊改数据收集运用等方面，还有很大欠缺。</w:t>
      </w:r>
    </w:p>
    <w:p>
      <w:pPr>
        <w:pStyle w:val="3"/>
      </w:pPr>
      <w:bookmarkStart w:id="61" w:name="_Toc28254466"/>
      <w:bookmarkStart w:id="62" w:name="_Toc14952"/>
      <w:r>
        <w:rPr>
          <w:rFonts w:hint="eastAsia"/>
        </w:rPr>
        <w:t>6.2</w:t>
      </w:r>
      <w:r>
        <w:t xml:space="preserve"> </w:t>
      </w:r>
      <w:r>
        <w:rPr>
          <w:rFonts w:hint="eastAsia"/>
        </w:rPr>
        <w:t>应对措施</w:t>
      </w:r>
      <w:bookmarkEnd w:id="61"/>
      <w:bookmarkEnd w:id="62"/>
    </w:p>
    <w:p>
      <w:pPr>
        <w:ind w:firstLine="643" w:firstLineChars="200"/>
        <w:rPr>
          <w:rFonts w:asciiTheme="minorEastAsia" w:hAnsiTheme="minorEastAsia"/>
          <w:sz w:val="32"/>
          <w:szCs w:val="32"/>
        </w:rPr>
      </w:pPr>
      <w:r>
        <w:rPr>
          <w:rFonts w:hint="eastAsia" w:asciiTheme="minorEastAsia" w:hAnsiTheme="minorEastAsia"/>
          <w:b/>
          <w:sz w:val="32"/>
          <w:szCs w:val="32"/>
        </w:rPr>
        <w:t>1.调整专业设置，以地方经济发展为基础，对接区域经济社会发展。</w:t>
      </w:r>
      <w:r>
        <w:rPr>
          <w:rFonts w:hint="eastAsia" w:asciiTheme="minorEastAsia" w:hAnsiTheme="minorEastAsia"/>
          <w:sz w:val="32"/>
          <w:szCs w:val="32"/>
        </w:rPr>
        <w:t>根据通辽市建设蒙医、蒙药之都的发展战略，大力发展蒙医学专业和蒙药学专业。2019年国控专业口腔医学、蒙医学开始招生，顺利完成招生任务，录取分数接近内蒙古自治区二本分数线。蒙药专业于2018年招生，对接当地蒙药企业发展需求，与瑞康药业等企业合作订单班，专业建设有序发展。我院机电类专业对接我市霍林河地方铝业加工企业，培养企业需要的人才。下一步要进一步完善这些专业设置，并逐步探索发展农学、畜牧学等对接地方经济发展的专业。</w:t>
      </w:r>
    </w:p>
    <w:p>
      <w:pPr>
        <w:ind w:firstLine="643" w:firstLineChars="200"/>
        <w:rPr>
          <w:rFonts w:asciiTheme="minorEastAsia" w:hAnsiTheme="minorEastAsia"/>
          <w:sz w:val="32"/>
          <w:szCs w:val="32"/>
        </w:rPr>
      </w:pPr>
      <w:r>
        <w:rPr>
          <w:rFonts w:hint="eastAsia" w:asciiTheme="minorEastAsia" w:hAnsiTheme="minorEastAsia"/>
          <w:b/>
          <w:sz w:val="32"/>
          <w:szCs w:val="32"/>
        </w:rPr>
        <w:t>2.健全职教联盟体系，吸引更多企业参与到专业建设中来。</w:t>
      </w:r>
      <w:r>
        <w:rPr>
          <w:rFonts w:hint="eastAsia" w:asciiTheme="minorEastAsia" w:hAnsiTheme="minorEastAsia"/>
          <w:sz w:val="32"/>
          <w:szCs w:val="32"/>
        </w:rPr>
        <w:t>对当地企业展开技术调研，掌握企业需求状况，为企业解决人力资源的同时，吸引企业积极加入到职教联盟中。通过承办全国开放职教联盟第一届二次会议（2019年7月23日）的契机，提升学院职教联盟工作内涵，加强与全国各高职院校的沟通，吸引更多企业加入职教联盟工作。充分利用国家、自治区利好政策，继续推动校企深度融合发展。将自治区发改委、教育厅、人社厅于2019年11月29日联合下发的“关于开展产教融合型企业建设培育试点的通告”的精神及时传递给与各专业合作的企业，鼓励企业积极参与校企联合招生、共同制定人才培养方案、派企业技术人员来校任课和实训操作指导、捐赠设备等，全面开展专业共建共育工作。</w:t>
      </w:r>
    </w:p>
    <w:p>
      <w:pPr>
        <w:ind w:firstLine="643" w:firstLineChars="200"/>
        <w:rPr>
          <w:rFonts w:asciiTheme="minorEastAsia" w:hAnsiTheme="minorEastAsia"/>
          <w:sz w:val="32"/>
          <w:szCs w:val="32"/>
        </w:rPr>
      </w:pPr>
      <w:r>
        <w:rPr>
          <w:rFonts w:hint="eastAsia" w:asciiTheme="minorEastAsia" w:hAnsiTheme="minorEastAsia"/>
          <w:b/>
          <w:sz w:val="32"/>
          <w:szCs w:val="32"/>
        </w:rPr>
        <w:t>3.加大智能校园建设力度。</w:t>
      </w:r>
      <w:r>
        <w:rPr>
          <w:rFonts w:hint="eastAsia" w:asciiTheme="minorEastAsia" w:hAnsiTheme="minorEastAsia"/>
          <w:sz w:val="32"/>
          <w:szCs w:val="32"/>
        </w:rPr>
        <w:t>全面落实《教育信息化2.0行动计划》，加快质量保证体系建设信息化工程，保证技术支撑，保证管理方式和手段现代化。提高教职员工信息化意识和能力、技能与应用水平，努力构建“互联网+”条件下的技术技能人才培养模式、探索教育信息化2.0时代内部治理新模式。</w:t>
      </w: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rPr>
          <w:rFonts w:asciiTheme="minorEastAsia" w:hAnsiTheme="minorEastAsia"/>
          <w:sz w:val="32"/>
          <w:szCs w:val="32"/>
        </w:rPr>
      </w:pPr>
    </w:p>
    <w:p>
      <w:pPr>
        <w:pStyle w:val="2"/>
        <w:jc w:val="left"/>
        <w:rPr>
          <w:i w:val="0"/>
          <w:sz w:val="32"/>
          <w:szCs w:val="32"/>
        </w:rPr>
      </w:pPr>
      <w:bookmarkStart w:id="63" w:name="_Toc11"/>
      <w:bookmarkStart w:id="64" w:name="_Toc12406"/>
      <w:r>
        <w:rPr>
          <w:rFonts w:hint="eastAsia"/>
          <w:i w:val="0"/>
          <w:sz w:val="32"/>
          <w:szCs w:val="32"/>
        </w:rPr>
        <w:t>附图目录</w:t>
      </w:r>
      <w:bookmarkEnd w:id="63"/>
      <w:bookmarkEnd w:id="64"/>
    </w:p>
    <w:p>
      <w:pPr>
        <w:pStyle w:val="8"/>
        <w:tabs>
          <w:tab w:val="right" w:leader="dot" w:pos="8306"/>
        </w:tabs>
      </w:pPr>
      <w:r>
        <w:rPr>
          <w:rFonts w:hint="eastAsia" w:ascii="黑体" w:hAnsi="黑体" w:eastAsia="黑体"/>
          <w:spacing w:val="-20"/>
          <w:sz w:val="24"/>
          <w:szCs w:val="24"/>
        </w:rPr>
        <w:fldChar w:fldCharType="begin"/>
      </w:r>
      <w:r>
        <w:rPr>
          <w:rFonts w:hint="eastAsia" w:ascii="黑体" w:hAnsi="黑体" w:eastAsia="黑体"/>
          <w:spacing w:val="-20"/>
          <w:sz w:val="24"/>
          <w:szCs w:val="24"/>
        </w:rPr>
        <w:instrText xml:space="preserve">TOC \o "1-1" \h \u </w:instrText>
      </w:r>
      <w:r>
        <w:rPr>
          <w:rFonts w:hint="eastAsia" w:ascii="黑体" w:hAnsi="黑体" w:eastAsia="黑体"/>
          <w:spacing w:val="-20"/>
          <w:sz w:val="24"/>
          <w:szCs w:val="24"/>
        </w:rPr>
        <w:fldChar w:fldCharType="separate"/>
      </w:r>
      <w:r>
        <w:fldChar w:fldCharType="begin"/>
      </w:r>
      <w:r>
        <w:instrText xml:space="preserve"> HYPERLINK \l "_Toc14100" </w:instrText>
      </w:r>
      <w:r>
        <w:fldChar w:fldCharType="separate"/>
      </w:r>
      <w:r>
        <w:rPr>
          <w:rFonts w:hint="eastAsia" w:ascii="黑体" w:hAnsi="黑体" w:eastAsia="黑体" w:cs="微软雅黑"/>
          <w:kern w:val="0"/>
          <w:szCs w:val="36"/>
        </w:rPr>
        <w:t>图1-1：全国道德模范周艳梅在北京人民大会堂与中国核潜艇之父黄旭华合影</w:t>
      </w:r>
      <w:r>
        <w:rPr>
          <w:rFonts w:ascii="黑体" w:hAnsi="黑体" w:eastAsia="黑体"/>
        </w:rPr>
        <w:tab/>
      </w:r>
      <w:r>
        <w:rPr>
          <w:rFonts w:ascii="黑体" w:hAnsi="黑体" w:eastAsia="黑体"/>
        </w:rPr>
        <w:fldChar w:fldCharType="end"/>
      </w:r>
      <w:r>
        <w:t>4</w:t>
      </w:r>
    </w:p>
    <w:p>
      <w:pPr>
        <w:pStyle w:val="8"/>
        <w:tabs>
          <w:tab w:val="right" w:leader="dot" w:pos="8306"/>
        </w:tabs>
        <w:rPr>
          <w:rFonts w:ascii="黑体" w:hAnsi="黑体" w:eastAsia="黑体" w:cs="黑体"/>
        </w:rPr>
      </w:pPr>
      <w:r>
        <w:fldChar w:fldCharType="begin"/>
      </w:r>
      <w:r>
        <w:instrText xml:space="preserve"> HYPERLINK \l "_Toc17112" </w:instrText>
      </w:r>
      <w:r>
        <w:fldChar w:fldCharType="separate"/>
      </w:r>
      <w:r>
        <w:rPr>
          <w:rFonts w:hint="eastAsia" w:ascii="黑体" w:hAnsi="黑体" w:eastAsia="黑体" w:cs="黑体"/>
        </w:rPr>
        <w:t xml:space="preserve">图1-2：辽宁舰舰员纪维桐（前排右一） </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w:t>
      </w:r>
    </w:p>
    <w:p>
      <w:pPr>
        <w:pStyle w:val="8"/>
        <w:tabs>
          <w:tab w:val="right" w:leader="dot" w:pos="8306"/>
        </w:tabs>
        <w:rPr>
          <w:rFonts w:ascii="黑体" w:hAnsi="黑体" w:eastAsia="黑体" w:cs="黑体"/>
        </w:rPr>
      </w:pPr>
      <w:r>
        <w:fldChar w:fldCharType="begin"/>
      </w:r>
      <w:r>
        <w:instrText xml:space="preserve"> HYPERLINK \l "_Toc31475" </w:instrText>
      </w:r>
      <w:r>
        <w:fldChar w:fldCharType="separate"/>
      </w:r>
      <w:r>
        <w:rPr>
          <w:rFonts w:hint="eastAsia" w:ascii="黑体" w:hAnsi="黑体" w:eastAsia="黑体"/>
          <w:szCs w:val="24"/>
        </w:rPr>
        <w:t>图1-3：庆祝新中国成立70周年国际形势政策报告会</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6</w:t>
      </w:r>
    </w:p>
    <w:p>
      <w:pPr>
        <w:pStyle w:val="8"/>
        <w:tabs>
          <w:tab w:val="right" w:leader="dot" w:pos="8306"/>
        </w:tabs>
        <w:rPr>
          <w:rFonts w:ascii="黑体" w:hAnsi="黑体" w:eastAsia="黑体" w:cs="黑体"/>
        </w:rPr>
      </w:pPr>
      <w:r>
        <w:fldChar w:fldCharType="begin"/>
      </w:r>
      <w:r>
        <w:instrText xml:space="preserve"> HYPERLINK \l "_Toc30685" </w:instrText>
      </w:r>
      <w:r>
        <w:fldChar w:fldCharType="separate"/>
      </w:r>
      <w:r>
        <w:rPr>
          <w:rFonts w:hint="eastAsia" w:ascii="黑体" w:hAnsi="黑体" w:eastAsia="黑体" w:cs="黑体"/>
        </w:rPr>
        <w:t>图1-4：学院近8年毕业生就业情况趋势图</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7</w:t>
      </w:r>
    </w:p>
    <w:p>
      <w:pPr>
        <w:pStyle w:val="8"/>
        <w:tabs>
          <w:tab w:val="right" w:leader="dot" w:pos="8306"/>
        </w:tabs>
        <w:rPr>
          <w:rFonts w:ascii="黑体" w:hAnsi="黑体" w:eastAsia="黑体" w:cs="黑体"/>
        </w:rPr>
      </w:pPr>
      <w:r>
        <w:fldChar w:fldCharType="begin"/>
      </w:r>
      <w:r>
        <w:instrText xml:space="preserve"> HYPERLINK \l "_Toc11039" </w:instrText>
      </w:r>
      <w:r>
        <w:fldChar w:fldCharType="separate"/>
      </w:r>
      <w:r>
        <w:rPr>
          <w:rFonts w:hint="eastAsia" w:ascii="黑体" w:hAnsi="黑体" w:eastAsia="黑体" w:cs="黑体"/>
        </w:rPr>
        <w:t>图1-5：学院近3届毕业生专业相关度</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8</w:t>
      </w:r>
    </w:p>
    <w:p>
      <w:pPr>
        <w:pStyle w:val="8"/>
        <w:tabs>
          <w:tab w:val="right" w:leader="dot" w:pos="8306"/>
        </w:tabs>
        <w:rPr>
          <w:rFonts w:ascii="黑体" w:hAnsi="黑体" w:eastAsia="黑体" w:cs="黑体"/>
        </w:rPr>
      </w:pPr>
      <w:r>
        <w:fldChar w:fldCharType="begin"/>
      </w:r>
      <w:r>
        <w:instrText xml:space="preserve"> HYPERLINK \l "_Toc1610" </w:instrText>
      </w:r>
      <w:r>
        <w:fldChar w:fldCharType="separate"/>
      </w:r>
      <w:r>
        <w:rPr>
          <w:rFonts w:hint="eastAsia" w:ascii="黑体" w:hAnsi="黑体" w:eastAsia="黑体"/>
          <w:szCs w:val="24"/>
        </w:rPr>
        <w:t>图1-6：学院近3届毕业生雇主满意度</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9</w:t>
      </w:r>
    </w:p>
    <w:p>
      <w:pPr>
        <w:pStyle w:val="8"/>
        <w:tabs>
          <w:tab w:val="right" w:leader="dot" w:pos="8306"/>
        </w:tabs>
        <w:rPr>
          <w:rFonts w:ascii="黑体" w:hAnsi="黑体" w:eastAsia="黑体" w:cs="黑体"/>
        </w:rPr>
      </w:pPr>
      <w:r>
        <w:fldChar w:fldCharType="begin"/>
      </w:r>
      <w:r>
        <w:instrText xml:space="preserve"> HYPERLINK \l "_Toc32039" </w:instrText>
      </w:r>
      <w:r>
        <w:fldChar w:fldCharType="separate"/>
      </w:r>
      <w:r>
        <w:rPr>
          <w:rFonts w:hint="eastAsia" w:ascii="黑体" w:hAnsi="黑体" w:eastAsia="黑体"/>
          <w:szCs w:val="24"/>
        </w:rPr>
        <w:t>图1-7：近8年学院招生实际录取数比较</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10</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图1-8：近8年学院招生实际录取数与全区中位数比较</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10</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图1-9：2018毕业季——校园开放日</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11</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图1-10：我院乌兰牧骑在庆祝新中国成立70周年合唱比赛上的精彩演出</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12</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图1-11：文明校园八创建</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15</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图1-12：</w:t>
      </w:r>
      <w:r>
        <w:rPr>
          <w:rFonts w:hint="eastAsia" w:ascii="黑体" w:hAnsi="黑体" w:eastAsia="黑体"/>
          <w:szCs w:val="24"/>
        </w:rPr>
        <w:t>李万哲回母校作报告</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18</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图1-13：</w:t>
      </w:r>
      <w:r>
        <w:rPr>
          <w:rFonts w:hint="eastAsia" w:ascii="黑体" w:hAnsi="黑体" w:eastAsia="黑体"/>
          <w:szCs w:val="24"/>
        </w:rPr>
        <w:t>第四届中国“互联网＋”大学生创新创业大赛铜奖</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20</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图1-14：</w:t>
      </w:r>
      <w:r>
        <w:rPr>
          <w:rFonts w:hint="eastAsia" w:ascii="黑体" w:hAnsi="黑体" w:eastAsia="黑体"/>
          <w:szCs w:val="24"/>
        </w:rPr>
        <w:t>校园环境</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22</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图1-15：</w:t>
      </w:r>
      <w:r>
        <w:rPr>
          <w:rFonts w:hint="eastAsia" w:ascii="黑体" w:hAnsi="黑体" w:eastAsia="黑体"/>
          <w:szCs w:val="24"/>
        </w:rPr>
        <w:t>“为工匠精神而歌”大型诗歌朗诵节目</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23</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图2-1：</w:t>
      </w:r>
      <w:r>
        <w:rPr>
          <w:rFonts w:hint="eastAsia" w:ascii="黑体" w:hAnsi="黑体" w:eastAsia="黑体"/>
          <w:szCs w:val="24"/>
        </w:rPr>
        <w:t>教学标准编制培训</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26</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图2-2：</w:t>
      </w:r>
      <w:r>
        <w:rPr>
          <w:rFonts w:hint="eastAsia" w:ascii="黑体" w:hAnsi="黑体" w:eastAsia="黑体"/>
          <w:szCs w:val="24"/>
        </w:rPr>
        <w:t>学院参加老年照护职业技能等级证书试点项目第二期宣讲会</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27</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图2-3：</w:t>
      </w:r>
      <w:r>
        <w:rPr>
          <w:rFonts w:hint="eastAsia" w:ascii="黑体" w:hAnsi="黑体" w:eastAsia="黑体"/>
          <w:szCs w:val="24"/>
        </w:rPr>
        <w:t>学院与大连春和医学科技有限公司共建口腔护理技能实训基地</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30</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图2-4：</w:t>
      </w:r>
      <w:r>
        <w:rPr>
          <w:rFonts w:hint="eastAsia" w:ascii="黑体" w:hAnsi="黑体" w:eastAsia="黑体"/>
          <w:szCs w:val="24"/>
        </w:rPr>
        <w:t>吉林大药房现代学徒制班奖学金发放仪式现场</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31</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图2-5：</w:t>
      </w:r>
      <w:r>
        <w:rPr>
          <w:rFonts w:hint="eastAsia" w:ascii="黑体" w:hAnsi="黑体" w:eastAsia="黑体"/>
          <w:szCs w:val="24"/>
        </w:rPr>
        <w:t>自治区高职院护理技能大赛一等奖颁奖现场</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33</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图2-6：</w:t>
      </w:r>
      <w:r>
        <w:rPr>
          <w:rFonts w:hint="eastAsia" w:ascii="黑体" w:hAnsi="黑体" w:eastAsia="黑体"/>
          <w:szCs w:val="24"/>
        </w:rPr>
        <w:t>学院机电工程系理实一体化课堂</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35</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图2-7：</w:t>
      </w:r>
      <w:r>
        <w:rPr>
          <w:rFonts w:hint="eastAsia" w:ascii="黑体" w:hAnsi="黑体" w:eastAsia="黑体"/>
          <w:szCs w:val="24"/>
        </w:rPr>
        <w:t>学院慕课教学设计与应用培训</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37</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图2-8：</w:t>
      </w:r>
      <w:r>
        <w:rPr>
          <w:rFonts w:hint="eastAsia" w:ascii="黑体" w:hAnsi="黑体" w:eastAsia="黑体"/>
          <w:szCs w:val="24"/>
        </w:rPr>
        <w:t>学院骨干教师赴山东职业院校学习考察</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40</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图3-1：</w:t>
      </w:r>
      <w:r>
        <w:rPr>
          <w:rFonts w:hint="eastAsia" w:ascii="黑体" w:hAnsi="黑体" w:eastAsia="黑体"/>
          <w:szCs w:val="24"/>
        </w:rPr>
        <w:t>学院二次党代会</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43</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图3-2：</w:t>
      </w:r>
      <w:r>
        <w:rPr>
          <w:rFonts w:hint="eastAsia" w:ascii="黑体" w:hAnsi="黑体" w:eastAsia="黑体"/>
          <w:szCs w:val="24"/>
        </w:rPr>
        <w:t>学院召开干部绩效考核述职大会</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45</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图4-1：</w:t>
      </w:r>
      <w:r>
        <w:rPr>
          <w:rFonts w:hint="eastAsia" w:ascii="黑体" w:hAnsi="黑体" w:eastAsia="黑体"/>
          <w:szCs w:val="24"/>
        </w:rPr>
        <w:t>学院与清华大学电子商务交易技术国家工程实验室、北京中清研签约</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50</w:t>
      </w:r>
    </w:p>
    <w:p>
      <w:pPr>
        <w:pStyle w:val="8"/>
        <w:tabs>
          <w:tab w:val="right" w:leader="dot" w:pos="8306"/>
        </w:tabs>
      </w:pPr>
      <w:r>
        <w:fldChar w:fldCharType="begin"/>
      </w:r>
      <w:r>
        <w:instrText xml:space="preserve"> HYPERLINK \l "_Toc26534" </w:instrText>
      </w:r>
      <w:r>
        <w:fldChar w:fldCharType="separate"/>
      </w:r>
      <w:r>
        <w:rPr>
          <w:rFonts w:hint="eastAsia" w:ascii="黑体" w:hAnsi="黑体" w:eastAsia="黑体" w:cs="黑体"/>
          <w:szCs w:val="32"/>
        </w:rPr>
        <w:t>图4-2：</w:t>
      </w:r>
      <w:r>
        <w:rPr>
          <w:rFonts w:hint="eastAsia" w:ascii="黑体" w:hAnsi="黑体" w:eastAsia="黑体"/>
          <w:szCs w:val="24"/>
        </w:rPr>
        <w:t>吕帅获国家专利代理人资格证书</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51</w:t>
      </w:r>
    </w:p>
    <w:p>
      <w:pPr>
        <w:pStyle w:val="8"/>
        <w:tabs>
          <w:tab w:val="right" w:leader="dot" w:pos="8306"/>
        </w:tabs>
        <w:rPr>
          <w:rFonts w:ascii="黑体" w:hAnsi="黑体" w:eastAsia="黑体" w:cs="黑体"/>
        </w:rPr>
      </w:pPr>
      <w:r>
        <w:fldChar w:fldCharType="begin"/>
      </w:r>
      <w:r>
        <w:instrText xml:space="preserve"> HYPERLINK \l "_Toc24094" </w:instrText>
      </w:r>
      <w:r>
        <w:fldChar w:fldCharType="separate"/>
      </w:r>
      <w:r>
        <w:rPr>
          <w:rFonts w:hint="eastAsia" w:ascii="黑体" w:hAnsi="黑体" w:eastAsia="黑体" w:cs="黑体"/>
          <w:szCs w:val="32"/>
        </w:rPr>
        <w:t>图4-3：</w:t>
      </w:r>
      <w:r>
        <w:rPr>
          <w:rFonts w:hint="eastAsia" w:ascii="黑体" w:hAnsi="黑体" w:eastAsia="黑体"/>
          <w:szCs w:val="24"/>
        </w:rPr>
        <w:t>通辽职业学院近三年社会培训及职业技能培训柱状图</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52</w:t>
      </w:r>
    </w:p>
    <w:p>
      <w:pPr>
        <w:pStyle w:val="8"/>
        <w:tabs>
          <w:tab w:val="right" w:leader="dot" w:pos="8306"/>
        </w:tabs>
        <w:rPr>
          <w:rFonts w:ascii="黑体" w:hAnsi="黑体" w:eastAsia="黑体" w:cs="黑体"/>
        </w:rPr>
      </w:pPr>
      <w:r>
        <w:fldChar w:fldCharType="begin"/>
      </w:r>
      <w:r>
        <w:instrText xml:space="preserve"> HYPERLINK \l "_Toc24094" </w:instrText>
      </w:r>
      <w:r>
        <w:fldChar w:fldCharType="separate"/>
      </w:r>
      <w:r>
        <w:rPr>
          <w:rFonts w:hint="eastAsia" w:ascii="黑体" w:hAnsi="黑体" w:eastAsia="黑体" w:cs="黑体"/>
          <w:szCs w:val="32"/>
        </w:rPr>
        <w:t>图4-</w:t>
      </w:r>
      <w:r>
        <w:rPr>
          <w:rFonts w:ascii="黑体" w:hAnsi="黑体" w:eastAsia="黑体" w:cs="黑体"/>
          <w:szCs w:val="32"/>
        </w:rPr>
        <w:t>4</w:t>
      </w:r>
      <w:r>
        <w:rPr>
          <w:rFonts w:hint="eastAsia" w:ascii="黑体" w:hAnsi="黑体" w:eastAsia="黑体" w:cs="黑体"/>
          <w:szCs w:val="32"/>
        </w:rPr>
        <w:t>：</w:t>
      </w:r>
      <w:r>
        <w:rPr>
          <w:rFonts w:hint="eastAsia" w:ascii="黑体" w:hAnsi="黑体" w:eastAsia="黑体"/>
          <w:szCs w:val="24"/>
        </w:rPr>
        <w:t>学院京蒙对口帮扶人才培训班</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55</w:t>
      </w:r>
    </w:p>
    <w:p/>
    <w:p>
      <w:pPr>
        <w:pStyle w:val="8"/>
        <w:tabs>
          <w:tab w:val="right" w:leader="dot" w:pos="8306"/>
        </w:tabs>
        <w:rPr>
          <w:rFonts w:ascii="黑体" w:hAnsi="黑体" w:eastAsia="黑体"/>
        </w:rPr>
      </w:pPr>
      <w:r>
        <w:rPr>
          <w:rFonts w:hint="eastAsia" w:ascii="黑体" w:hAnsi="黑体" w:eastAsia="黑体"/>
          <w:spacing w:val="-20"/>
          <w:szCs w:val="24"/>
        </w:rPr>
        <w:fldChar w:fldCharType="end"/>
      </w:r>
    </w:p>
    <w:p>
      <w:pPr>
        <w:jc w:val="left"/>
        <w:rPr>
          <w:rFonts w:ascii="黑体" w:hAnsi="黑体" w:eastAsia="黑体"/>
          <w:szCs w:val="24"/>
        </w:rPr>
      </w:pPr>
    </w:p>
    <w:p>
      <w:pPr>
        <w:spacing w:line="400" w:lineRule="exact"/>
        <w:jc w:val="left"/>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pStyle w:val="2"/>
        <w:jc w:val="left"/>
        <w:rPr>
          <w:i w:val="0"/>
          <w:sz w:val="32"/>
          <w:szCs w:val="32"/>
        </w:rPr>
      </w:pPr>
      <w:bookmarkStart w:id="65" w:name="_Toc27730"/>
      <w:bookmarkStart w:id="66" w:name="_Toc13416"/>
      <w:r>
        <w:rPr>
          <w:rFonts w:hint="eastAsia"/>
          <w:i w:val="0"/>
          <w:sz w:val="32"/>
          <w:szCs w:val="32"/>
        </w:rPr>
        <w:t>附表目录</w:t>
      </w:r>
      <w:bookmarkEnd w:id="65"/>
      <w:bookmarkEnd w:id="66"/>
    </w:p>
    <w:p>
      <w:pPr>
        <w:pStyle w:val="8"/>
        <w:tabs>
          <w:tab w:val="right" w:leader="dot" w:pos="8306"/>
        </w:tabs>
        <w:rPr>
          <w:rFonts w:ascii="黑体" w:hAnsi="黑体" w:eastAsia="黑体"/>
        </w:rPr>
      </w:pPr>
      <w:r>
        <w:rPr>
          <w:rFonts w:hint="eastAsia" w:ascii="黑体" w:hAnsi="黑体" w:eastAsia="黑体"/>
          <w:spacing w:val="-20"/>
          <w:sz w:val="24"/>
          <w:szCs w:val="24"/>
        </w:rPr>
        <w:fldChar w:fldCharType="begin"/>
      </w:r>
      <w:r>
        <w:rPr>
          <w:rFonts w:hint="eastAsia" w:ascii="黑体" w:hAnsi="黑体" w:eastAsia="黑体"/>
          <w:spacing w:val="-20"/>
          <w:sz w:val="24"/>
          <w:szCs w:val="24"/>
        </w:rPr>
        <w:instrText xml:space="preserve">TOC \o "1-1" \h \u </w:instrText>
      </w:r>
      <w:r>
        <w:rPr>
          <w:rFonts w:hint="eastAsia" w:ascii="黑体" w:hAnsi="黑体" w:eastAsia="黑体"/>
          <w:spacing w:val="-20"/>
          <w:sz w:val="24"/>
          <w:szCs w:val="24"/>
        </w:rPr>
        <w:fldChar w:fldCharType="separate"/>
      </w:r>
      <w:r>
        <w:fldChar w:fldCharType="begin"/>
      </w:r>
      <w:r>
        <w:instrText xml:space="preserve"> HYPERLINK \l "_Toc14100" </w:instrText>
      </w:r>
      <w:r>
        <w:fldChar w:fldCharType="separate"/>
      </w:r>
      <w:r>
        <w:rPr>
          <w:rFonts w:hint="eastAsia" w:ascii="黑体" w:hAnsi="黑体" w:eastAsia="黑体" w:cs="微软雅黑"/>
          <w:kern w:val="0"/>
          <w:szCs w:val="36"/>
        </w:rPr>
        <w:t>表1-1 通辽职业学院“计分卡”</w:t>
      </w:r>
      <w:r>
        <w:rPr>
          <w:rFonts w:ascii="黑体" w:hAnsi="黑体" w:eastAsia="黑体"/>
        </w:rPr>
        <w:tab/>
      </w:r>
      <w:r>
        <w:rPr>
          <w:rFonts w:ascii="黑体" w:hAnsi="黑体" w:eastAsia="黑体"/>
        </w:rPr>
        <w:fldChar w:fldCharType="end"/>
      </w:r>
      <w:r>
        <w:rPr>
          <w:rFonts w:ascii="黑体" w:hAnsi="黑体" w:eastAsia="黑体"/>
        </w:rPr>
        <w:t>7</w:t>
      </w:r>
    </w:p>
    <w:p>
      <w:pPr>
        <w:pStyle w:val="8"/>
        <w:tabs>
          <w:tab w:val="right" w:leader="dot" w:pos="8306"/>
        </w:tabs>
        <w:rPr>
          <w:rFonts w:ascii="黑体" w:hAnsi="黑体" w:eastAsia="黑体" w:cs="黑体"/>
        </w:rPr>
      </w:pPr>
      <w:r>
        <w:fldChar w:fldCharType="begin"/>
      </w:r>
      <w:r>
        <w:instrText xml:space="preserve"> HYPERLINK \l "_Toc17112" </w:instrText>
      </w:r>
      <w:r>
        <w:fldChar w:fldCharType="separate"/>
      </w:r>
      <w:r>
        <w:rPr>
          <w:rFonts w:hint="eastAsia" w:ascii="黑体" w:hAnsi="黑体" w:eastAsia="黑体" w:cs="黑体"/>
        </w:rPr>
        <w:t xml:space="preserve">表1-2 学生反馈表 </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_Toc17112 </w:instrText>
      </w:r>
      <w:r>
        <w:rPr>
          <w:rFonts w:hint="eastAsia" w:ascii="黑体" w:hAnsi="黑体" w:eastAsia="黑体" w:cs="黑体"/>
        </w:rPr>
        <w:fldChar w:fldCharType="separate"/>
      </w:r>
      <w:r>
        <w:rPr>
          <w:rFonts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r>
        <w:rPr>
          <w:rFonts w:ascii="黑体" w:hAnsi="黑体" w:eastAsia="黑体" w:cs="黑体"/>
        </w:rPr>
        <w:t>3</w:t>
      </w:r>
    </w:p>
    <w:p>
      <w:pPr>
        <w:pStyle w:val="8"/>
        <w:tabs>
          <w:tab w:val="right" w:leader="dot" w:pos="8306"/>
        </w:tabs>
        <w:rPr>
          <w:rFonts w:ascii="黑体" w:hAnsi="黑体" w:eastAsia="黑体" w:cs="黑体"/>
        </w:rPr>
      </w:pPr>
      <w:r>
        <w:fldChar w:fldCharType="begin"/>
      </w:r>
      <w:r>
        <w:instrText xml:space="preserve"> HYPERLINK \l "_Toc30685" </w:instrText>
      </w:r>
      <w:r>
        <w:fldChar w:fldCharType="separate"/>
      </w:r>
      <w:r>
        <w:rPr>
          <w:rFonts w:hint="eastAsia" w:ascii="黑体" w:hAnsi="黑体" w:eastAsia="黑体" w:cs="黑体"/>
        </w:rPr>
        <w:t>表1-3 通辽职业学院各类社团及其成员数</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_Toc30685 </w:instrText>
      </w:r>
      <w:r>
        <w:rPr>
          <w:rFonts w:hint="eastAsia" w:ascii="黑体" w:hAnsi="黑体" w:eastAsia="黑体" w:cs="黑体"/>
        </w:rPr>
        <w:fldChar w:fldCharType="separate"/>
      </w:r>
      <w:r>
        <w:rPr>
          <w:rFonts w:ascii="黑体" w:hAnsi="黑体" w:eastAsia="黑体" w:cs="黑体"/>
        </w:rPr>
        <w:t>24</w:t>
      </w:r>
      <w:r>
        <w:rPr>
          <w:rFonts w:hint="eastAsia" w:ascii="黑体" w:hAnsi="黑体" w:eastAsia="黑体" w:cs="黑体"/>
        </w:rPr>
        <w:fldChar w:fldCharType="end"/>
      </w:r>
      <w:r>
        <w:rPr>
          <w:rFonts w:hint="eastAsia" w:ascii="黑体" w:hAnsi="黑体" w:eastAsia="黑体" w:cs="黑体"/>
        </w:rPr>
        <w:fldChar w:fldCharType="end"/>
      </w:r>
    </w:p>
    <w:p>
      <w:pPr>
        <w:pStyle w:val="8"/>
        <w:tabs>
          <w:tab w:val="right" w:leader="dot" w:pos="8306"/>
        </w:tabs>
        <w:rPr>
          <w:rFonts w:ascii="黑体" w:hAnsi="黑体" w:eastAsia="黑体" w:cs="黑体"/>
          <w:spacing w:val="-20"/>
          <w:szCs w:val="24"/>
        </w:rPr>
      </w:pPr>
      <w:r>
        <w:fldChar w:fldCharType="begin"/>
      </w:r>
      <w:r>
        <w:instrText xml:space="preserve"> HYPERLINK \l "_Toc11039" </w:instrText>
      </w:r>
      <w:r>
        <w:fldChar w:fldCharType="separate"/>
      </w:r>
      <w:r>
        <w:rPr>
          <w:rFonts w:hint="eastAsia" w:ascii="黑体" w:hAnsi="黑体" w:eastAsia="黑体" w:cs="黑体"/>
        </w:rPr>
        <w:t>表1-4 2018—2019学年技能大赛获奖学生统计表</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16</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表2-1 2018年度学院教师在信息化教学大赛中的获奖情况</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36</w:t>
      </w:r>
    </w:p>
    <w:p>
      <w:pPr>
        <w:pStyle w:val="8"/>
        <w:tabs>
          <w:tab w:val="right" w:leader="dot" w:pos="8306"/>
        </w:tabs>
        <w:rPr>
          <w:rFonts w:ascii="黑体" w:hAnsi="黑体" w:eastAsia="黑体" w:cs="黑体"/>
        </w:rPr>
      </w:pPr>
      <w:r>
        <w:fldChar w:fldCharType="begin"/>
      </w:r>
      <w:r>
        <w:instrText xml:space="preserve"> HYPERLINK \l "_Toc1610" </w:instrText>
      </w:r>
      <w:r>
        <w:fldChar w:fldCharType="separate"/>
      </w:r>
      <w:r>
        <w:rPr>
          <w:rFonts w:hint="eastAsia" w:ascii="黑体" w:hAnsi="黑体" w:eastAsia="黑体"/>
          <w:szCs w:val="24"/>
        </w:rPr>
        <w:t>表3-1 落实政策表</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41</w:t>
      </w:r>
    </w:p>
    <w:p>
      <w:pPr>
        <w:pStyle w:val="8"/>
        <w:tabs>
          <w:tab w:val="right" w:leader="dot" w:pos="8306"/>
        </w:tabs>
        <w:rPr>
          <w:rFonts w:ascii="黑体" w:hAnsi="黑体" w:eastAsia="黑体" w:cs="黑体"/>
        </w:rPr>
      </w:pPr>
      <w:r>
        <w:fldChar w:fldCharType="begin"/>
      </w:r>
      <w:r>
        <w:instrText xml:space="preserve"> HYPERLINK \l "_Toc32039" </w:instrText>
      </w:r>
      <w:r>
        <w:fldChar w:fldCharType="separate"/>
      </w:r>
      <w:r>
        <w:rPr>
          <w:rFonts w:hint="eastAsia" w:ascii="黑体" w:hAnsi="黑体" w:eastAsia="黑体"/>
          <w:szCs w:val="24"/>
        </w:rPr>
        <w:t>表4-1 通辽职业学院近三年社会培训及职业技能培训一览表</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52</w:t>
      </w:r>
    </w:p>
    <w:p>
      <w:pPr>
        <w:rPr>
          <w:rFonts w:ascii="仿宋" w:hAnsi="仿宋" w:eastAsia="仿宋"/>
          <w:sz w:val="24"/>
          <w:szCs w:val="24"/>
        </w:rPr>
      </w:pPr>
      <w:r>
        <w:rPr>
          <w:rFonts w:hint="eastAsia" w:ascii="黑体" w:hAnsi="黑体" w:eastAsia="黑体"/>
          <w:spacing w:val="-20"/>
          <w:szCs w:val="24"/>
        </w:rPr>
        <w:fldChar w:fldCharType="end"/>
      </w: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rPr>
          <w:rFonts w:ascii="方正小标宋简体" w:hAnsi="仿宋" w:eastAsia="方正小标宋简体"/>
          <w:sz w:val="32"/>
          <w:szCs w:val="32"/>
        </w:rPr>
      </w:pPr>
    </w:p>
    <w:p>
      <w:pPr>
        <w:pStyle w:val="2"/>
        <w:jc w:val="left"/>
        <w:rPr>
          <w:i w:val="0"/>
          <w:sz w:val="32"/>
          <w:szCs w:val="32"/>
        </w:rPr>
      </w:pPr>
      <w:bookmarkStart w:id="67" w:name="_Toc11610"/>
      <w:bookmarkStart w:id="68" w:name="_Toc26534"/>
      <w:r>
        <w:rPr>
          <w:i w:val="0"/>
          <w:sz w:val="32"/>
          <w:szCs w:val="32"/>
        </w:rPr>
        <w:t>案例目录</w:t>
      </w:r>
      <w:bookmarkEnd w:id="67"/>
      <w:bookmarkEnd w:id="68"/>
    </w:p>
    <w:p>
      <w:pPr>
        <w:pStyle w:val="8"/>
        <w:tabs>
          <w:tab w:val="right" w:leader="dot" w:pos="8306"/>
        </w:tabs>
        <w:rPr>
          <w:rFonts w:ascii="黑体" w:hAnsi="黑体" w:eastAsia="黑体"/>
        </w:rPr>
      </w:pPr>
      <w:r>
        <w:rPr>
          <w:rFonts w:hint="eastAsia" w:ascii="黑体" w:hAnsi="黑体" w:eastAsia="黑体"/>
          <w:spacing w:val="-20"/>
          <w:sz w:val="24"/>
          <w:szCs w:val="24"/>
        </w:rPr>
        <w:fldChar w:fldCharType="begin"/>
      </w:r>
      <w:r>
        <w:rPr>
          <w:rFonts w:hint="eastAsia" w:ascii="黑体" w:hAnsi="黑体" w:eastAsia="黑体"/>
          <w:spacing w:val="-20"/>
          <w:sz w:val="24"/>
          <w:szCs w:val="24"/>
        </w:rPr>
        <w:instrText xml:space="preserve">TOC \o "1-1" \h \u </w:instrText>
      </w:r>
      <w:r>
        <w:rPr>
          <w:rFonts w:hint="eastAsia" w:ascii="黑体" w:hAnsi="黑体" w:eastAsia="黑体"/>
          <w:spacing w:val="-20"/>
          <w:sz w:val="24"/>
          <w:szCs w:val="24"/>
        </w:rPr>
        <w:fldChar w:fldCharType="separate"/>
      </w:r>
      <w:r>
        <w:fldChar w:fldCharType="begin"/>
      </w:r>
      <w:r>
        <w:instrText xml:space="preserve"> HYPERLINK \l "_Toc14100" </w:instrText>
      </w:r>
      <w:r>
        <w:fldChar w:fldCharType="separate"/>
      </w:r>
      <w:r>
        <w:rPr>
          <w:rFonts w:hint="eastAsia" w:ascii="黑体" w:hAnsi="黑体" w:eastAsia="黑体" w:cs="微软雅黑"/>
          <w:kern w:val="0"/>
          <w:szCs w:val="36"/>
        </w:rPr>
        <w:t>【案例1】孝老爱亲 崇德向善——全国道德模范、全国向上向善好青年周艳梅</w:t>
      </w:r>
      <w:r>
        <w:rPr>
          <w:rFonts w:ascii="黑体" w:hAnsi="黑体" w:eastAsia="黑体"/>
        </w:rPr>
        <w:tab/>
      </w:r>
      <w:r>
        <w:rPr>
          <w:rFonts w:ascii="黑体" w:hAnsi="黑体" w:eastAsia="黑体"/>
        </w:rPr>
        <w:fldChar w:fldCharType="end"/>
      </w:r>
      <w:r>
        <w:rPr>
          <w:rFonts w:ascii="黑体" w:hAnsi="黑体" w:eastAsia="黑体"/>
        </w:rPr>
        <w:t>3</w:t>
      </w:r>
    </w:p>
    <w:p>
      <w:pPr>
        <w:pStyle w:val="8"/>
        <w:tabs>
          <w:tab w:val="right" w:leader="dot" w:pos="8306"/>
        </w:tabs>
        <w:rPr>
          <w:rFonts w:ascii="黑体" w:hAnsi="黑体" w:eastAsia="黑体" w:cs="黑体"/>
        </w:rPr>
      </w:pPr>
      <w:r>
        <w:fldChar w:fldCharType="begin"/>
      </w:r>
      <w:r>
        <w:instrText xml:space="preserve"> HYPERLINK \l "_Toc17112" </w:instrText>
      </w:r>
      <w:r>
        <w:fldChar w:fldCharType="separate"/>
      </w:r>
      <w:r>
        <w:rPr>
          <w:rFonts w:hint="eastAsia" w:ascii="黑体" w:hAnsi="黑体" w:eastAsia="黑体" w:cs="黑体"/>
        </w:rPr>
        <w:t xml:space="preserve">【案例2】通辽职业学院的骄傲——中国第一艘航母辽宁舰舰员纪维桐 </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4</w:t>
      </w:r>
    </w:p>
    <w:p>
      <w:pPr>
        <w:pStyle w:val="8"/>
        <w:tabs>
          <w:tab w:val="right" w:leader="dot" w:pos="8306"/>
        </w:tabs>
        <w:rPr>
          <w:rFonts w:ascii="黑体" w:hAnsi="黑体" w:eastAsia="黑体" w:cs="黑体"/>
        </w:rPr>
      </w:pPr>
      <w:r>
        <w:fldChar w:fldCharType="begin"/>
      </w:r>
      <w:r>
        <w:instrText xml:space="preserve"> HYPERLINK \l "_Toc31475" </w:instrText>
      </w:r>
      <w:r>
        <w:fldChar w:fldCharType="separate"/>
      </w:r>
      <w:r>
        <w:rPr>
          <w:rFonts w:hint="eastAsia" w:ascii="黑体" w:hAnsi="黑体" w:eastAsia="黑体"/>
          <w:szCs w:val="24"/>
        </w:rPr>
        <w:t>【案例3】不忘初心、牢记使命 厚植爱国主义情怀</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w:t>
      </w:r>
    </w:p>
    <w:p>
      <w:pPr>
        <w:pStyle w:val="8"/>
        <w:tabs>
          <w:tab w:val="right" w:leader="dot" w:pos="8306"/>
        </w:tabs>
        <w:rPr>
          <w:rFonts w:ascii="黑体" w:hAnsi="黑体" w:eastAsia="黑体" w:cs="黑体"/>
        </w:rPr>
      </w:pPr>
      <w:r>
        <w:fldChar w:fldCharType="begin"/>
      </w:r>
      <w:r>
        <w:instrText xml:space="preserve"> HYPERLINK \l "_Toc30685" </w:instrText>
      </w:r>
      <w:r>
        <w:fldChar w:fldCharType="separate"/>
      </w:r>
      <w:r>
        <w:rPr>
          <w:rFonts w:hint="eastAsia" w:ascii="黑体" w:hAnsi="黑体" w:eastAsia="黑体" w:cs="黑体"/>
        </w:rPr>
        <w:t>【案例4】 校园开放多样化、常态化 职业教育吸引力进一步提升</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11</w:t>
      </w:r>
    </w:p>
    <w:p>
      <w:pPr>
        <w:pStyle w:val="8"/>
        <w:tabs>
          <w:tab w:val="right" w:leader="dot" w:pos="8306"/>
        </w:tabs>
        <w:rPr>
          <w:rFonts w:ascii="黑体" w:hAnsi="黑体" w:eastAsia="黑体" w:cs="黑体"/>
        </w:rPr>
      </w:pPr>
      <w:r>
        <w:fldChar w:fldCharType="begin"/>
      </w:r>
      <w:r>
        <w:instrText xml:space="preserve"> HYPERLINK \l "_Toc11039" </w:instrText>
      </w:r>
      <w:r>
        <w:fldChar w:fldCharType="separate"/>
      </w:r>
      <w:r>
        <w:rPr>
          <w:rFonts w:hint="eastAsia" w:ascii="黑体" w:hAnsi="黑体" w:eastAsia="黑体" w:cs="黑体"/>
        </w:rPr>
        <w:t>【案例5】文明校园“八创建”构筑文明校园</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14</w:t>
      </w:r>
      <w:r>
        <w:fldChar w:fldCharType="begin"/>
      </w:r>
      <w:r>
        <w:instrText xml:space="preserve"> HYPERLINK \l "_Toc1610" </w:instrText>
      </w:r>
      <w:r>
        <w:fldChar w:fldCharType="separate"/>
      </w:r>
      <w:r>
        <w:fldChar w:fldCharType="end"/>
      </w:r>
    </w:p>
    <w:p>
      <w:pPr>
        <w:pStyle w:val="8"/>
        <w:tabs>
          <w:tab w:val="right" w:leader="dot" w:pos="8306"/>
        </w:tabs>
        <w:rPr>
          <w:rFonts w:ascii="黑体" w:hAnsi="黑体" w:eastAsia="黑体" w:cs="黑体"/>
        </w:rPr>
      </w:pPr>
      <w:r>
        <w:fldChar w:fldCharType="begin"/>
      </w:r>
      <w:r>
        <w:instrText xml:space="preserve"> HYPERLINK \l "_Toc32039" </w:instrText>
      </w:r>
      <w:r>
        <w:fldChar w:fldCharType="separate"/>
      </w:r>
      <w:r>
        <w:rPr>
          <w:rFonts w:hint="eastAsia" w:ascii="黑体" w:hAnsi="黑体" w:eastAsia="黑体"/>
          <w:szCs w:val="24"/>
        </w:rPr>
        <w:t>【案例</w:t>
      </w:r>
      <w:r>
        <w:rPr>
          <w:rFonts w:ascii="黑体" w:hAnsi="黑体" w:eastAsia="黑体"/>
          <w:szCs w:val="24"/>
        </w:rPr>
        <w:t>6</w:t>
      </w:r>
      <w:r>
        <w:rPr>
          <w:rFonts w:hint="eastAsia" w:ascii="黑体" w:hAnsi="黑体" w:eastAsia="黑体"/>
          <w:szCs w:val="24"/>
        </w:rPr>
        <w:t>】职业生涯从这里起航 开阔的人生就在你脚下</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17</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【案例</w:t>
      </w:r>
      <w:r>
        <w:rPr>
          <w:rFonts w:ascii="黑体" w:hAnsi="黑体" w:eastAsia="黑体" w:cs="黑体"/>
        </w:rPr>
        <w:t>7</w:t>
      </w:r>
      <w:r>
        <w:rPr>
          <w:rFonts w:hint="eastAsia" w:ascii="黑体" w:hAnsi="黑体" w:eastAsia="黑体" w:cs="黑体"/>
        </w:rPr>
        <w:t>】环境建设有品位“内蒙古自治区园林式单位”名不虚传</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21</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【案例</w:t>
      </w:r>
      <w:r>
        <w:rPr>
          <w:rFonts w:ascii="黑体" w:hAnsi="黑体" w:eastAsia="黑体" w:cs="黑体"/>
          <w:szCs w:val="32"/>
        </w:rPr>
        <w:t>8</w:t>
      </w:r>
      <w:r>
        <w:rPr>
          <w:rFonts w:hint="eastAsia" w:ascii="黑体" w:hAnsi="黑体" w:eastAsia="黑体" w:cs="黑体"/>
          <w:szCs w:val="32"/>
        </w:rPr>
        <w:t>】锻炼技能的阵地 培养工匠的舞台</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22</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【案例</w:t>
      </w:r>
      <w:r>
        <w:rPr>
          <w:rFonts w:ascii="黑体" w:hAnsi="黑体" w:eastAsia="黑体" w:cs="黑体"/>
          <w:szCs w:val="32"/>
        </w:rPr>
        <w:t>9</w:t>
      </w:r>
      <w:r>
        <w:rPr>
          <w:rFonts w:hint="eastAsia" w:ascii="黑体" w:hAnsi="黑体" w:eastAsia="黑体" w:cs="黑体"/>
          <w:szCs w:val="32"/>
        </w:rPr>
        <w:t>】 对照标准制方案 精准培养求质量</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25</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【案例1</w:t>
      </w:r>
      <w:r>
        <w:rPr>
          <w:rFonts w:ascii="黑体" w:hAnsi="黑体" w:eastAsia="黑体" w:cs="黑体"/>
          <w:szCs w:val="32"/>
        </w:rPr>
        <w:t>0</w:t>
      </w:r>
      <w:r>
        <w:rPr>
          <w:rFonts w:hint="eastAsia" w:ascii="黑体" w:hAnsi="黑体" w:eastAsia="黑体" w:cs="黑体"/>
          <w:szCs w:val="32"/>
        </w:rPr>
        <w:t>】1+X证书制度试点 助力护理专业发展</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26</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【案例1</w:t>
      </w:r>
      <w:r>
        <w:rPr>
          <w:rFonts w:ascii="黑体" w:hAnsi="黑体" w:eastAsia="黑体" w:cs="黑体"/>
        </w:rPr>
        <w:t>1</w:t>
      </w:r>
      <w:r>
        <w:rPr>
          <w:rFonts w:hint="eastAsia" w:ascii="黑体" w:hAnsi="黑体" w:eastAsia="黑体" w:cs="黑体"/>
        </w:rPr>
        <w:t>】搭建产教融合平台 共育口腔护理人才</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29</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【案例1</w:t>
      </w:r>
      <w:r>
        <w:rPr>
          <w:rFonts w:ascii="黑体" w:hAnsi="黑体" w:eastAsia="黑体" w:cs="黑体"/>
          <w:szCs w:val="32"/>
        </w:rPr>
        <w:t>2</w:t>
      </w:r>
      <w:r>
        <w:rPr>
          <w:rFonts w:hint="eastAsia" w:ascii="黑体" w:hAnsi="黑体" w:eastAsia="黑体" w:cs="黑体"/>
          <w:szCs w:val="32"/>
        </w:rPr>
        <w:t>】产业文化进教育 企业文化进校园 医药文化进课堂</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30</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【案例1</w:t>
      </w:r>
      <w:r>
        <w:rPr>
          <w:rFonts w:ascii="黑体" w:hAnsi="黑体" w:eastAsia="黑体" w:cs="黑体"/>
          <w:szCs w:val="32"/>
        </w:rPr>
        <w:t>3</w:t>
      </w:r>
      <w:r>
        <w:rPr>
          <w:rFonts w:hint="eastAsia" w:ascii="黑体" w:hAnsi="黑体" w:eastAsia="黑体" w:cs="黑体"/>
          <w:szCs w:val="32"/>
        </w:rPr>
        <w:t>】护理实训结硕果 技能大赛传捷报</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32</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【案例1</w:t>
      </w:r>
      <w:r>
        <w:rPr>
          <w:rFonts w:ascii="黑体" w:hAnsi="黑体" w:eastAsia="黑体" w:cs="黑体"/>
          <w:szCs w:val="32"/>
        </w:rPr>
        <w:t>4</w:t>
      </w:r>
      <w:r>
        <w:rPr>
          <w:rFonts w:hint="eastAsia" w:ascii="黑体" w:hAnsi="黑体" w:eastAsia="黑体" w:cs="黑体"/>
          <w:szCs w:val="32"/>
        </w:rPr>
        <w:t>】汽车实训平台产生示范效应</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33</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【案例1</w:t>
      </w:r>
      <w:r>
        <w:rPr>
          <w:rFonts w:ascii="黑体" w:hAnsi="黑体" w:eastAsia="黑体" w:cs="黑体"/>
        </w:rPr>
        <w:t>5</w:t>
      </w:r>
      <w:r>
        <w:rPr>
          <w:rFonts w:hint="eastAsia" w:ascii="黑体" w:hAnsi="黑体" w:eastAsia="黑体" w:cs="黑体"/>
        </w:rPr>
        <w:t>】更新教育理念 推进课程改革</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36</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【案例1</w:t>
      </w:r>
      <w:r>
        <w:rPr>
          <w:rFonts w:ascii="黑体" w:hAnsi="黑体" w:eastAsia="黑体" w:cs="黑体"/>
          <w:szCs w:val="32"/>
        </w:rPr>
        <w:t>6</w:t>
      </w:r>
      <w:r>
        <w:rPr>
          <w:rFonts w:hint="eastAsia" w:ascii="黑体" w:hAnsi="黑体" w:eastAsia="黑体" w:cs="黑体"/>
          <w:szCs w:val="32"/>
        </w:rPr>
        <w:t>】取他山之石以攻玉</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39</w:t>
      </w:r>
    </w:p>
    <w:p>
      <w:pPr>
        <w:pStyle w:val="8"/>
        <w:tabs>
          <w:tab w:val="right" w:leader="dot" w:pos="8306"/>
        </w:tabs>
        <w:rPr>
          <w:rFonts w:ascii="黑体" w:hAnsi="黑体" w:eastAsia="黑体" w:cs="黑体"/>
        </w:rPr>
      </w:pPr>
      <w:r>
        <w:fldChar w:fldCharType="begin"/>
      </w:r>
      <w:r>
        <w:instrText xml:space="preserve"> HYPERLINK \l "_Toc13416" </w:instrText>
      </w:r>
      <w:r>
        <w:fldChar w:fldCharType="separate"/>
      </w:r>
      <w:r>
        <w:rPr>
          <w:rFonts w:hint="eastAsia" w:ascii="黑体" w:hAnsi="黑体" w:eastAsia="黑体" w:cs="黑体"/>
          <w:szCs w:val="32"/>
        </w:rPr>
        <w:t>【案例1</w:t>
      </w:r>
      <w:r>
        <w:rPr>
          <w:rFonts w:ascii="黑体" w:hAnsi="黑体" w:eastAsia="黑体" w:cs="黑体"/>
          <w:szCs w:val="32"/>
        </w:rPr>
        <w:t>7</w:t>
      </w:r>
      <w:r>
        <w:rPr>
          <w:rFonts w:hint="eastAsia" w:ascii="黑体" w:hAnsi="黑体" w:eastAsia="黑体" w:cs="黑体"/>
          <w:szCs w:val="32"/>
        </w:rPr>
        <w:t>】示范校建设出成果</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47</w:t>
      </w:r>
    </w:p>
    <w:p>
      <w:pPr>
        <w:pStyle w:val="8"/>
        <w:tabs>
          <w:tab w:val="right" w:leader="dot" w:pos="8306"/>
        </w:tabs>
        <w:rPr>
          <w:rFonts w:ascii="黑体" w:hAnsi="黑体" w:eastAsia="黑体" w:cs="黑体"/>
          <w:spacing w:val="-20"/>
          <w:szCs w:val="24"/>
        </w:rPr>
      </w:pPr>
      <w:r>
        <w:fldChar w:fldCharType="begin"/>
      </w:r>
      <w:r>
        <w:instrText xml:space="preserve"> HYPERLINK \l "_Toc26534" </w:instrText>
      </w:r>
      <w:r>
        <w:fldChar w:fldCharType="separate"/>
      </w:r>
      <w:r>
        <w:rPr>
          <w:rFonts w:hint="eastAsia" w:ascii="黑体" w:hAnsi="黑体" w:eastAsia="黑体" w:cs="黑体"/>
          <w:szCs w:val="32"/>
        </w:rPr>
        <w:t>【案例1</w:t>
      </w:r>
      <w:r>
        <w:rPr>
          <w:rFonts w:ascii="黑体" w:hAnsi="黑体" w:eastAsia="黑体" w:cs="黑体"/>
          <w:szCs w:val="32"/>
        </w:rPr>
        <w:t>8</w:t>
      </w:r>
      <w:r>
        <w:rPr>
          <w:rFonts w:hint="eastAsia" w:ascii="黑体" w:hAnsi="黑体" w:eastAsia="黑体" w:cs="黑体"/>
          <w:szCs w:val="32"/>
        </w:rPr>
        <w:t>】潜心研究出成果 服务师生贡献大</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50</w:t>
      </w:r>
    </w:p>
    <w:p>
      <w:pPr>
        <w:pStyle w:val="8"/>
        <w:tabs>
          <w:tab w:val="right" w:leader="dot" w:pos="8306"/>
        </w:tabs>
        <w:rPr>
          <w:rFonts w:ascii="黑体" w:hAnsi="黑体" w:eastAsia="黑体" w:cs="黑体"/>
        </w:rPr>
      </w:pPr>
      <w:r>
        <w:fldChar w:fldCharType="begin"/>
      </w:r>
      <w:r>
        <w:instrText xml:space="preserve"> HYPERLINK \l "_Toc2528" </w:instrText>
      </w:r>
      <w:r>
        <w:fldChar w:fldCharType="separate"/>
      </w:r>
      <w:r>
        <w:rPr>
          <w:rFonts w:hint="eastAsia" w:ascii="黑体" w:hAnsi="黑体" w:eastAsia="黑体" w:cs="黑体"/>
        </w:rPr>
        <w:t>【案例</w:t>
      </w:r>
      <w:r>
        <w:rPr>
          <w:rFonts w:ascii="黑体" w:hAnsi="黑体" w:eastAsia="黑体" w:cs="黑体"/>
        </w:rPr>
        <w:t>19</w:t>
      </w:r>
      <w:r>
        <w:rPr>
          <w:rFonts w:hint="eastAsia" w:ascii="黑体" w:hAnsi="黑体" w:eastAsia="黑体" w:cs="黑体"/>
        </w:rPr>
        <w:t>】服务通辽 提升军人再就业能力</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52</w:t>
      </w:r>
    </w:p>
    <w:p>
      <w:pPr>
        <w:pStyle w:val="8"/>
        <w:tabs>
          <w:tab w:val="right" w:leader="dot" w:pos="8306"/>
        </w:tabs>
        <w:rPr>
          <w:rFonts w:ascii="黑体" w:hAnsi="黑体" w:eastAsia="黑体" w:cs="黑体"/>
        </w:rPr>
      </w:pPr>
      <w:r>
        <w:fldChar w:fldCharType="begin"/>
      </w:r>
      <w:r>
        <w:instrText xml:space="preserve"> HYPERLINK \l "_Toc12406" </w:instrText>
      </w:r>
      <w:r>
        <w:fldChar w:fldCharType="separate"/>
      </w:r>
      <w:r>
        <w:rPr>
          <w:rFonts w:hint="eastAsia" w:ascii="黑体" w:hAnsi="黑体" w:eastAsia="黑体" w:cs="黑体"/>
          <w:szCs w:val="32"/>
        </w:rPr>
        <w:t>【案例2</w:t>
      </w:r>
      <w:r>
        <w:rPr>
          <w:rFonts w:ascii="黑体" w:hAnsi="黑体" w:eastAsia="黑体" w:cs="黑体"/>
          <w:szCs w:val="32"/>
        </w:rPr>
        <w:t>0</w:t>
      </w:r>
      <w:r>
        <w:rPr>
          <w:rFonts w:hint="eastAsia" w:ascii="黑体" w:hAnsi="黑体" w:eastAsia="黑体" w:cs="黑体"/>
          <w:szCs w:val="32"/>
        </w:rPr>
        <w:t>】搭建智力扶贫的平台 助力“通辽乡村振兴计划”</w:t>
      </w:r>
      <w:r>
        <w:rPr>
          <w:rFonts w:hint="eastAsia" w:ascii="黑体" w:hAnsi="黑体" w:eastAsia="黑体" w:cs="黑体"/>
        </w:rPr>
        <w:tab/>
      </w:r>
      <w:r>
        <w:rPr>
          <w:rFonts w:hint="eastAsia" w:ascii="黑体" w:hAnsi="黑体" w:eastAsia="黑体" w:cs="黑体"/>
        </w:rPr>
        <w:fldChar w:fldCharType="end"/>
      </w:r>
      <w:r>
        <w:rPr>
          <w:rFonts w:ascii="黑体" w:hAnsi="黑体" w:eastAsia="黑体" w:cs="黑体"/>
        </w:rPr>
        <w:t>53</w:t>
      </w:r>
    </w:p>
    <w:p>
      <w:pPr>
        <w:rPr>
          <w:rFonts w:ascii="仿宋" w:hAnsi="仿宋" w:eastAsia="仿宋"/>
          <w:color w:val="2E75B6" w:themeColor="accent1" w:themeShade="BF"/>
          <w:sz w:val="24"/>
          <w:szCs w:val="24"/>
        </w:rPr>
      </w:pPr>
      <w:r>
        <w:rPr>
          <w:rFonts w:hint="eastAsia" w:ascii="黑体" w:hAnsi="黑体" w:eastAsia="黑体"/>
          <w:spacing w:val="-20"/>
          <w:szCs w:val="24"/>
        </w:rPr>
        <w:fldChar w:fldCharType="end"/>
      </w: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rPr>
          <w:rFonts w:ascii="方正小标宋简体" w:hAnsi="仿宋" w:eastAsia="方正小标宋简体"/>
          <w:color w:val="2E75B6" w:themeColor="accent1" w:themeShade="BF"/>
          <w:sz w:val="32"/>
          <w:szCs w:val="32"/>
        </w:rPr>
      </w:pPr>
    </w:p>
    <w:p>
      <w:pPr>
        <w:pStyle w:val="2"/>
        <w:jc w:val="left"/>
        <w:rPr>
          <w:rFonts w:ascii="方正小标宋简体"/>
          <w:i w:val="0"/>
          <w:sz w:val="32"/>
          <w:szCs w:val="32"/>
        </w:rPr>
      </w:pPr>
      <w:bookmarkStart w:id="69" w:name="_Toc24665"/>
      <w:bookmarkStart w:id="70" w:name="_Toc24094"/>
      <w:r>
        <w:rPr>
          <w:rFonts w:hint="eastAsia" w:ascii="方正小标宋简体"/>
          <w:i w:val="0"/>
          <w:sz w:val="32"/>
          <w:szCs w:val="32"/>
        </w:rPr>
        <w:t>附件：通辽职业学院质量年度报告指标（2020）</w:t>
      </w:r>
      <w:bookmarkEnd w:id="69"/>
      <w:bookmarkEnd w:id="70"/>
    </w:p>
    <w:p>
      <w:pPr>
        <w:spacing w:before="312" w:beforeLines="100"/>
        <w:rPr>
          <w:rFonts w:ascii="黑体" w:hAnsi="黑体" w:eastAsia="黑体"/>
          <w:sz w:val="24"/>
          <w:szCs w:val="24"/>
          <w:u w:color="C00000"/>
        </w:rPr>
      </w:pPr>
      <w:r>
        <w:rPr>
          <w:rFonts w:ascii="黑体" w:hAnsi="黑体" w:eastAsia="黑体"/>
          <w:b/>
          <w:sz w:val="24"/>
          <w:szCs w:val="24"/>
        </w:rPr>
        <mc:AlternateContent>
          <mc:Choice Requires="wps">
            <w:drawing>
              <wp:anchor distT="0" distB="0" distL="114300" distR="114300" simplePos="0" relativeHeight="251660288" behindDoc="0" locked="0" layoutInCell="1" allowOverlap="1">
                <wp:simplePos x="0" y="0"/>
                <wp:positionH relativeFrom="column">
                  <wp:posOffset>260350</wp:posOffset>
                </wp:positionH>
                <wp:positionV relativeFrom="paragraph">
                  <wp:posOffset>189865</wp:posOffset>
                </wp:positionV>
                <wp:extent cx="1968500" cy="0"/>
                <wp:effectExtent l="0" t="0" r="31750" b="19050"/>
                <wp:wrapNone/>
                <wp:docPr id="15" name="直接连接符 15"/>
                <wp:cNvGraphicFramePr/>
                <a:graphic xmlns:a="http://schemas.openxmlformats.org/drawingml/2006/main">
                  <a:graphicData uri="http://schemas.microsoft.com/office/word/2010/wordprocessingShape">
                    <wps:wsp>
                      <wps:cNvCnPr/>
                      <wps:spPr>
                        <a:xfrm>
                          <a:off x="0" y="0"/>
                          <a:ext cx="196850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0.5pt;margin-top:14.95pt;height:0pt;width:155pt;z-index:251660288;mso-width-relative:page;mso-height-relative:page;" filled="f" stroked="t" coordsize="21600,21600" o:gfxdata="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TI+iO9UAAAAIAQAADwAAAAAAAAABACAAAAAiAAAAZHJzL2Rvd25y&#10;ZXYueG1sUEsBAhQAFAAAAAgAh07iQPZVaJPIAQAAZgMAAA4AAAAAAAAAAQAgAAAAJAEAAGRycy9l&#10;Mm9Eb2MueG1sUEsFBgAAAAAGAAYAWQEAAF4FAAAAAA==&#10;">
                <v:fill on="f" focussize="0,0"/>
                <v:stroke weight="1pt" color="#C00000 [3204]" miterlimit="8" joinstyle="miter"/>
                <v:imagedata o:title=""/>
                <o:lock v:ext="edit" aspectratio="f"/>
              </v:line>
            </w:pict>
          </mc:Fallback>
        </mc:AlternateContent>
      </w:r>
      <w:r>
        <w:rPr>
          <w:rFonts w:ascii="黑体" w:hAnsi="黑体" w:eastAsia="黑体"/>
          <w:b/>
          <w:sz w:val="24"/>
          <w:szCs w:val="24"/>
          <w:shd w:val="clear" w:color="auto" w:fill="C00000"/>
        </w:rPr>
        <w:t xml:space="preserve"> 表</w:t>
      </w:r>
      <w:r>
        <w:rPr>
          <w:rFonts w:hint="eastAsia" w:ascii="黑体" w:hAnsi="黑体" w:eastAsia="黑体"/>
          <w:b/>
          <w:sz w:val="24"/>
          <w:szCs w:val="24"/>
          <w:shd w:val="clear" w:color="auto" w:fill="C00000"/>
        </w:rPr>
        <w:t>1</w:t>
      </w:r>
      <w:r>
        <w:rPr>
          <w:rFonts w:ascii="黑体" w:hAnsi="黑体" w:eastAsia="黑体"/>
          <w:b/>
          <w:sz w:val="24"/>
          <w:szCs w:val="24"/>
          <w:shd w:val="clear" w:color="auto" w:fill="C00000"/>
        </w:rPr>
        <w:t xml:space="preserve"> </w:t>
      </w:r>
      <w:r>
        <w:rPr>
          <w:rFonts w:ascii="仿宋" w:hAnsi="仿宋" w:eastAsia="仿宋"/>
          <w:color w:val="2E75B6" w:themeColor="accent1" w:themeShade="BF"/>
          <w:sz w:val="32"/>
          <w:szCs w:val="32"/>
          <w:u w:color="C00000"/>
        </w:rPr>
        <w:t xml:space="preserve"> </w:t>
      </w:r>
      <w:r>
        <w:rPr>
          <w:rFonts w:ascii="黑体" w:hAnsi="黑体" w:eastAsia="黑体"/>
          <w:sz w:val="24"/>
          <w:szCs w:val="24"/>
          <w:u w:color="C00000"/>
        </w:rPr>
        <w:t>通辽职业学院</w:t>
      </w:r>
      <w:r>
        <w:rPr>
          <w:rFonts w:hint="eastAsia" w:ascii="黑体" w:hAnsi="黑体" w:eastAsia="黑体"/>
          <w:sz w:val="24"/>
          <w:szCs w:val="24"/>
          <w:u w:color="C00000"/>
        </w:rPr>
        <w:t>“计分卡”</w:t>
      </w:r>
    </w:p>
    <w:tbl>
      <w:tblPr>
        <w:tblStyle w:val="11"/>
        <w:tblW w:w="8354" w:type="dxa"/>
        <w:tblInd w:w="0" w:type="dxa"/>
        <w:tblLayout w:type="fixed"/>
        <w:tblCellMar>
          <w:top w:w="0" w:type="dxa"/>
          <w:left w:w="0" w:type="dxa"/>
          <w:bottom w:w="0" w:type="dxa"/>
          <w:right w:w="0" w:type="dxa"/>
        </w:tblCellMar>
      </w:tblPr>
      <w:tblGrid>
        <w:gridCol w:w="1226"/>
        <w:gridCol w:w="1599"/>
        <w:gridCol w:w="393"/>
        <w:gridCol w:w="2468"/>
        <w:gridCol w:w="556"/>
        <w:gridCol w:w="1056"/>
        <w:gridCol w:w="1056"/>
      </w:tblGrid>
      <w:tr>
        <w:tblPrEx>
          <w:tblLayout w:type="fixed"/>
          <w:tblCellMar>
            <w:top w:w="0" w:type="dxa"/>
            <w:left w:w="0" w:type="dxa"/>
            <w:bottom w:w="0" w:type="dxa"/>
            <w:right w:w="0" w:type="dxa"/>
          </w:tblCellMar>
        </w:tblPrEx>
        <w:trPr>
          <w:trHeight w:val="707" w:hRule="atLeast"/>
        </w:trPr>
        <w:tc>
          <w:tcPr>
            <w:tcW w:w="1226"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vAlign w:val="center"/>
          </w:tcPr>
          <w:p>
            <w:pPr>
              <w:jc w:val="left"/>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院校代码</w:t>
            </w:r>
          </w:p>
        </w:tc>
        <w:tc>
          <w:tcPr>
            <w:tcW w:w="1599"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vAlign w:val="center"/>
          </w:tcPr>
          <w:p>
            <w:pPr>
              <w:jc w:val="left"/>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院校名称</w:t>
            </w:r>
          </w:p>
        </w:tc>
        <w:tc>
          <w:tcPr>
            <w:tcW w:w="2861" w:type="dxa"/>
            <w:gridSpan w:val="2"/>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指标</w:t>
            </w:r>
          </w:p>
        </w:tc>
        <w:tc>
          <w:tcPr>
            <w:tcW w:w="556"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vAlign w:val="center"/>
          </w:tcPr>
          <w:p>
            <w:pPr>
              <w:jc w:val="left"/>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单位</w:t>
            </w:r>
          </w:p>
        </w:tc>
        <w:tc>
          <w:tcPr>
            <w:tcW w:w="1056"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vAlign w:val="center"/>
          </w:tcPr>
          <w:p>
            <w:pPr>
              <w:jc w:val="left"/>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2018年</w:t>
            </w:r>
          </w:p>
        </w:tc>
        <w:tc>
          <w:tcPr>
            <w:tcW w:w="1056" w:type="dxa"/>
            <w:tcBorders>
              <w:top w:val="single" w:color="FFFFFF" w:sz="8" w:space="0"/>
              <w:left w:val="single" w:color="FFFFFF" w:sz="8" w:space="0"/>
              <w:bottom w:val="single" w:color="FFFFFF" w:sz="24" w:space="0"/>
              <w:right w:val="single" w:color="FFFFFF" w:sz="8" w:space="0"/>
            </w:tcBorders>
            <w:shd w:val="clear" w:color="auto" w:fill="5B9BD5"/>
            <w:tcMar>
              <w:top w:w="15" w:type="dxa"/>
              <w:left w:w="108" w:type="dxa"/>
              <w:bottom w:w="0" w:type="dxa"/>
              <w:right w:w="108" w:type="dxa"/>
            </w:tcMar>
            <w:vAlign w:val="center"/>
          </w:tcPr>
          <w:p>
            <w:pPr>
              <w:jc w:val="left"/>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2019年</w:t>
            </w:r>
          </w:p>
        </w:tc>
      </w:tr>
      <w:tr>
        <w:tblPrEx>
          <w:tblLayout w:type="fixed"/>
          <w:tblCellMar>
            <w:top w:w="0" w:type="dxa"/>
            <w:left w:w="0" w:type="dxa"/>
            <w:bottom w:w="0" w:type="dxa"/>
            <w:right w:w="0" w:type="dxa"/>
          </w:tblCellMar>
        </w:tblPrEx>
        <w:trPr>
          <w:trHeight w:val="567" w:hRule="atLeast"/>
        </w:trPr>
        <w:tc>
          <w:tcPr>
            <w:tcW w:w="1226" w:type="dxa"/>
            <w:vMerge w:val="restart"/>
            <w:tcBorders>
              <w:top w:val="single" w:color="FFFFFF" w:sz="24"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vAlign w:val="center"/>
          </w:tcPr>
          <w:p>
            <w:pPr>
              <w:rPr>
                <w:rFonts w:ascii="黑体" w:hAnsi="黑体" w:eastAsia="黑体"/>
                <w:color w:val="FFFFFF" w:themeColor="background1"/>
                <w:sz w:val="24"/>
                <w:szCs w:val="24"/>
                <w14:textFill>
                  <w14:solidFill>
                    <w14:schemeClr w14:val="bg1"/>
                  </w14:solidFill>
                </w14:textFill>
              </w:rPr>
            </w:pPr>
            <w:r>
              <w:rPr>
                <w:rFonts w:ascii="Calibri" w:hAnsi="Calibri" w:eastAsia="黑体" w:cs="Calibri"/>
                <w:bCs/>
                <w:color w:val="FFFFFF" w:themeColor="background1"/>
                <w:sz w:val="24"/>
                <w:szCs w:val="24"/>
                <w14:textFill>
                  <w14:solidFill>
                    <w14:schemeClr w14:val="bg1"/>
                  </w14:solidFill>
                </w14:textFill>
              </w:rPr>
              <w:t> </w:t>
            </w:r>
            <w:r>
              <w:rPr>
                <w:rFonts w:ascii="黑体" w:hAnsi="黑体" w:eastAsia="黑体" w:cs="Calibri"/>
                <w:bCs/>
                <w:color w:val="FFFFFF" w:themeColor="background1"/>
                <w:sz w:val="24"/>
                <w:szCs w:val="24"/>
                <w14:textFill>
                  <w14:solidFill>
                    <w14:schemeClr w14:val="bg1"/>
                  </w14:solidFill>
                </w14:textFill>
              </w:rPr>
              <w:t>13740</w:t>
            </w:r>
          </w:p>
        </w:tc>
        <w:tc>
          <w:tcPr>
            <w:tcW w:w="1599" w:type="dxa"/>
            <w:vMerge w:val="restart"/>
            <w:tcBorders>
              <w:top w:val="single" w:color="FFFFFF" w:sz="24" w:space="0"/>
              <w:left w:val="single" w:color="FFFFFF" w:sz="8" w:space="0"/>
              <w:bottom w:val="single" w:color="FFFFFF" w:sz="8" w:space="0"/>
              <w:right w:val="single" w:color="FFFFFF" w:sz="8" w:space="0"/>
            </w:tcBorders>
            <w:shd w:val="clear" w:color="auto" w:fill="5B9BD5"/>
            <w:tcMar>
              <w:top w:w="15" w:type="dxa"/>
              <w:left w:w="108" w:type="dxa"/>
              <w:bottom w:w="0" w:type="dxa"/>
              <w:right w:w="108"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通辽职业学院</w:t>
            </w:r>
          </w:p>
        </w:tc>
        <w:tc>
          <w:tcPr>
            <w:tcW w:w="393"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1</w:t>
            </w:r>
          </w:p>
        </w:tc>
        <w:tc>
          <w:tcPr>
            <w:tcW w:w="2468"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 xml:space="preserve">就业率 </w:t>
            </w:r>
          </w:p>
        </w:tc>
        <w:tc>
          <w:tcPr>
            <w:tcW w:w="556"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w:t>
            </w:r>
          </w:p>
        </w:tc>
        <w:tc>
          <w:tcPr>
            <w:tcW w:w="1056"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 xml:space="preserve">93.62 </w:t>
            </w:r>
          </w:p>
        </w:tc>
        <w:tc>
          <w:tcPr>
            <w:tcW w:w="1056" w:type="dxa"/>
            <w:tcBorders>
              <w:top w:val="single" w:color="FFFFFF" w:sz="24"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 xml:space="preserve">90.39 </w:t>
            </w:r>
          </w:p>
        </w:tc>
      </w:tr>
      <w:tr>
        <w:tblPrEx>
          <w:tblLayout w:type="fixed"/>
          <w:tblCellMar>
            <w:top w:w="0" w:type="dxa"/>
            <w:left w:w="0" w:type="dxa"/>
            <w:bottom w:w="0" w:type="dxa"/>
            <w:right w:w="0" w:type="dxa"/>
          </w:tblCellMar>
        </w:tblPrEx>
        <w:trPr>
          <w:trHeight w:val="567" w:hRule="atLeast"/>
        </w:trPr>
        <w:tc>
          <w:tcPr>
            <w:tcW w:w="1226"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1599"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sz w:val="24"/>
                <w:szCs w:val="24"/>
              </w:rPr>
            </w:pPr>
          </w:p>
        </w:tc>
        <w:tc>
          <w:tcPr>
            <w:tcW w:w="393"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2</w:t>
            </w:r>
          </w:p>
        </w:tc>
        <w:tc>
          <w:tcPr>
            <w:tcW w:w="24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月收入</w:t>
            </w:r>
          </w:p>
        </w:tc>
        <w:tc>
          <w:tcPr>
            <w:tcW w:w="5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元</w:t>
            </w:r>
          </w:p>
        </w:tc>
        <w:tc>
          <w:tcPr>
            <w:tcW w:w="10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jc w:val="center"/>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374.73</w:t>
            </w:r>
          </w:p>
        </w:tc>
        <w:tc>
          <w:tcPr>
            <w:tcW w:w="10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 xml:space="preserve">2072.14 </w:t>
            </w:r>
          </w:p>
        </w:tc>
      </w:tr>
      <w:tr>
        <w:tblPrEx>
          <w:tblLayout w:type="fixed"/>
          <w:tblCellMar>
            <w:top w:w="0" w:type="dxa"/>
            <w:left w:w="0" w:type="dxa"/>
            <w:bottom w:w="0" w:type="dxa"/>
            <w:right w:w="0" w:type="dxa"/>
          </w:tblCellMar>
        </w:tblPrEx>
        <w:trPr>
          <w:trHeight w:val="567" w:hRule="atLeast"/>
        </w:trPr>
        <w:tc>
          <w:tcPr>
            <w:tcW w:w="1226"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1599"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sz w:val="24"/>
                <w:szCs w:val="24"/>
              </w:rPr>
            </w:pPr>
          </w:p>
        </w:tc>
        <w:tc>
          <w:tcPr>
            <w:tcW w:w="393"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3</w:t>
            </w:r>
          </w:p>
        </w:tc>
        <w:tc>
          <w:tcPr>
            <w:tcW w:w="24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理工农医类专业相关度</w:t>
            </w:r>
          </w:p>
        </w:tc>
        <w:tc>
          <w:tcPr>
            <w:tcW w:w="5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w:t>
            </w:r>
          </w:p>
        </w:tc>
        <w:tc>
          <w:tcPr>
            <w:tcW w:w="10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93.71</w:t>
            </w:r>
          </w:p>
        </w:tc>
        <w:tc>
          <w:tcPr>
            <w:tcW w:w="10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92.45</w:t>
            </w:r>
          </w:p>
        </w:tc>
      </w:tr>
      <w:tr>
        <w:tblPrEx>
          <w:tblLayout w:type="fixed"/>
          <w:tblCellMar>
            <w:top w:w="0" w:type="dxa"/>
            <w:left w:w="0" w:type="dxa"/>
            <w:bottom w:w="0" w:type="dxa"/>
            <w:right w:w="0" w:type="dxa"/>
          </w:tblCellMar>
        </w:tblPrEx>
        <w:trPr>
          <w:trHeight w:val="567" w:hRule="atLeast"/>
        </w:trPr>
        <w:tc>
          <w:tcPr>
            <w:tcW w:w="1226"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1599"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sz w:val="24"/>
                <w:szCs w:val="24"/>
              </w:rPr>
            </w:pPr>
          </w:p>
        </w:tc>
        <w:tc>
          <w:tcPr>
            <w:tcW w:w="393"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4</w:t>
            </w:r>
          </w:p>
        </w:tc>
        <w:tc>
          <w:tcPr>
            <w:tcW w:w="24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母校满意度</w:t>
            </w:r>
          </w:p>
        </w:tc>
        <w:tc>
          <w:tcPr>
            <w:tcW w:w="5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w:t>
            </w:r>
          </w:p>
        </w:tc>
        <w:tc>
          <w:tcPr>
            <w:tcW w:w="10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99</w:t>
            </w:r>
          </w:p>
        </w:tc>
        <w:tc>
          <w:tcPr>
            <w:tcW w:w="10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98</w:t>
            </w:r>
          </w:p>
        </w:tc>
      </w:tr>
      <w:tr>
        <w:tblPrEx>
          <w:tblLayout w:type="fixed"/>
          <w:tblCellMar>
            <w:top w:w="0" w:type="dxa"/>
            <w:left w:w="0" w:type="dxa"/>
            <w:bottom w:w="0" w:type="dxa"/>
            <w:right w:w="0" w:type="dxa"/>
          </w:tblCellMar>
        </w:tblPrEx>
        <w:trPr>
          <w:trHeight w:val="567" w:hRule="atLeast"/>
        </w:trPr>
        <w:tc>
          <w:tcPr>
            <w:tcW w:w="1226"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1599"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sz w:val="24"/>
                <w:szCs w:val="24"/>
              </w:rPr>
            </w:pPr>
          </w:p>
        </w:tc>
        <w:tc>
          <w:tcPr>
            <w:tcW w:w="393"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5</w:t>
            </w:r>
          </w:p>
        </w:tc>
        <w:tc>
          <w:tcPr>
            <w:tcW w:w="24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自主创业比例</w:t>
            </w:r>
          </w:p>
        </w:tc>
        <w:tc>
          <w:tcPr>
            <w:tcW w:w="5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w:t>
            </w:r>
          </w:p>
        </w:tc>
        <w:tc>
          <w:tcPr>
            <w:tcW w:w="10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0</w:t>
            </w:r>
          </w:p>
        </w:tc>
        <w:tc>
          <w:tcPr>
            <w:tcW w:w="10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1226"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1599"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sz w:val="24"/>
                <w:szCs w:val="24"/>
              </w:rPr>
            </w:pPr>
          </w:p>
        </w:tc>
        <w:tc>
          <w:tcPr>
            <w:tcW w:w="393"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6</w:t>
            </w:r>
          </w:p>
        </w:tc>
        <w:tc>
          <w:tcPr>
            <w:tcW w:w="2468"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雇主满意度</w:t>
            </w:r>
          </w:p>
        </w:tc>
        <w:tc>
          <w:tcPr>
            <w:tcW w:w="5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w:t>
            </w:r>
          </w:p>
        </w:tc>
        <w:tc>
          <w:tcPr>
            <w:tcW w:w="10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98.26</w:t>
            </w:r>
          </w:p>
        </w:tc>
        <w:tc>
          <w:tcPr>
            <w:tcW w:w="1056" w:type="dxa"/>
            <w:tcBorders>
              <w:top w:val="single" w:color="FFFFFF" w:sz="8" w:space="0"/>
              <w:left w:val="single" w:color="FFFFFF" w:sz="8" w:space="0"/>
              <w:bottom w:val="single" w:color="FFFFFF" w:sz="8" w:space="0"/>
              <w:right w:val="single" w:color="FFFFFF" w:sz="8" w:space="0"/>
            </w:tcBorders>
            <w:shd w:val="clear" w:color="auto" w:fill="EAEFF7"/>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 xml:space="preserve">99.67 </w:t>
            </w:r>
          </w:p>
        </w:tc>
      </w:tr>
      <w:tr>
        <w:tblPrEx>
          <w:tblLayout w:type="fixed"/>
          <w:tblCellMar>
            <w:top w:w="0" w:type="dxa"/>
            <w:left w:w="0" w:type="dxa"/>
            <w:bottom w:w="0" w:type="dxa"/>
            <w:right w:w="0" w:type="dxa"/>
          </w:tblCellMar>
        </w:tblPrEx>
        <w:trPr>
          <w:trHeight w:val="567" w:hRule="atLeast"/>
        </w:trPr>
        <w:tc>
          <w:tcPr>
            <w:tcW w:w="1226"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1599"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sz w:val="24"/>
                <w:szCs w:val="24"/>
              </w:rPr>
            </w:pPr>
          </w:p>
        </w:tc>
        <w:tc>
          <w:tcPr>
            <w:tcW w:w="393"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7</w:t>
            </w:r>
          </w:p>
        </w:tc>
        <w:tc>
          <w:tcPr>
            <w:tcW w:w="2468"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毕业三年职位晋升比例</w:t>
            </w:r>
          </w:p>
        </w:tc>
        <w:tc>
          <w:tcPr>
            <w:tcW w:w="5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rPr>
                <w:rFonts w:ascii="仿宋" w:hAnsi="仿宋" w:eastAsia="仿宋"/>
                <w:sz w:val="24"/>
                <w:szCs w:val="24"/>
              </w:rPr>
            </w:pPr>
            <w:r>
              <w:rPr>
                <w:rFonts w:ascii="仿宋" w:hAnsi="仿宋" w:eastAsia="仿宋"/>
                <w:sz w:val="24"/>
                <w:szCs w:val="24"/>
              </w:rPr>
              <w:t>%</w:t>
            </w:r>
          </w:p>
        </w:tc>
        <w:tc>
          <w:tcPr>
            <w:tcW w:w="10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27.58</w:t>
            </w:r>
          </w:p>
        </w:tc>
        <w:tc>
          <w:tcPr>
            <w:tcW w:w="1056" w:type="dxa"/>
            <w:tcBorders>
              <w:top w:val="single" w:color="FFFFFF" w:sz="8" w:space="0"/>
              <w:left w:val="single" w:color="FFFFFF" w:sz="8" w:space="0"/>
              <w:bottom w:val="single" w:color="FFFFFF" w:sz="8" w:space="0"/>
              <w:right w:val="single" w:color="FFFFFF" w:sz="8" w:space="0"/>
            </w:tcBorders>
            <w:shd w:val="clear" w:color="auto" w:fill="D2DEEF"/>
            <w:tcMar>
              <w:top w:w="15" w:type="dxa"/>
              <w:left w:w="108" w:type="dxa"/>
              <w:bottom w:w="0" w:type="dxa"/>
              <w:right w:w="108" w:type="dxa"/>
            </w:tcMar>
            <w:vAlign w:val="center"/>
          </w:tcPr>
          <w:p>
            <w:pPr>
              <w:jc w:val="center"/>
              <w:rPr>
                <w:rFonts w:ascii="黑体" w:hAnsi="黑体" w:eastAsia="黑体"/>
                <w:sz w:val="24"/>
                <w:szCs w:val="24"/>
              </w:rPr>
            </w:pPr>
            <w:r>
              <w:rPr>
                <w:rFonts w:ascii="黑体" w:hAnsi="黑体" w:eastAsia="黑体"/>
                <w:sz w:val="24"/>
                <w:szCs w:val="24"/>
              </w:rPr>
              <w:t>25.81</w:t>
            </w:r>
          </w:p>
        </w:tc>
      </w:tr>
    </w:tbl>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spacing w:after="156" w:afterLines="50"/>
        <w:rPr>
          <w:rFonts w:ascii="黑体" w:hAnsi="黑体" w:eastAsia="黑体"/>
          <w:sz w:val="24"/>
          <w:szCs w:val="24"/>
          <w:u w:color="C00000"/>
        </w:rPr>
      </w:pPr>
      <w:r>
        <w:rPr>
          <w:rFonts w:ascii="黑体" w:hAnsi="黑体" w:eastAsia="黑体"/>
          <w:b/>
          <w:sz w:val="24"/>
          <w:szCs w:val="24"/>
        </w:rPr>
        <mc:AlternateContent>
          <mc:Choice Requires="wps">
            <w:drawing>
              <wp:anchor distT="0" distB="0" distL="114300" distR="114300" simplePos="0" relativeHeight="251662336" behindDoc="0" locked="0" layoutInCell="1" allowOverlap="1">
                <wp:simplePos x="0" y="0"/>
                <wp:positionH relativeFrom="column">
                  <wp:posOffset>387350</wp:posOffset>
                </wp:positionH>
                <wp:positionV relativeFrom="paragraph">
                  <wp:posOffset>184150</wp:posOffset>
                </wp:positionV>
                <wp:extent cx="2171700" cy="13970"/>
                <wp:effectExtent l="0" t="0" r="19050" b="24130"/>
                <wp:wrapNone/>
                <wp:docPr id="16" name="直接连接符 16"/>
                <wp:cNvGraphicFramePr/>
                <a:graphic xmlns:a="http://schemas.openxmlformats.org/drawingml/2006/main">
                  <a:graphicData uri="http://schemas.microsoft.com/office/word/2010/wordprocessingShape">
                    <wps:wsp>
                      <wps:cNvCnPr/>
                      <wps:spPr>
                        <a:xfrm>
                          <a:off x="0" y="0"/>
                          <a:ext cx="2171700" cy="14031"/>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pt;margin-top:14.5pt;height:1.1pt;width:171pt;z-index:251662336;mso-width-relative:page;mso-height-relative:page;" filled="f" stroked="t" coordsize="21600,21600" o:gfxdata="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m+zcL1wAAAAgBAAAPAAAAAAAAAAEAIAAAACIAAABkcnMv&#10;ZG93bnJldi54bWxQSwECFAAUAAAACACHTuJAUXkLAcsBAABqAwAADgAAAAAAAAABACAAAAAmAQAA&#10;ZHJzL2Uyb0RvYy54bWxQSwUGAAAAAAYABgBZAQAAYwUAAAAA&#10;">
                <v:fill on="f" focussize="0,0"/>
                <v:stroke weight="1pt" color="#C00000 [3204]" miterlimit="8" joinstyle="miter"/>
                <v:imagedata o:title=""/>
                <o:lock v:ext="edit" aspectratio="f"/>
              </v:line>
            </w:pict>
          </mc:Fallback>
        </mc:AlternateContent>
      </w:r>
      <w:r>
        <w:rPr>
          <w:rFonts w:ascii="黑体" w:hAnsi="黑体" w:eastAsia="黑体"/>
          <w:b/>
          <w:sz w:val="24"/>
          <w:szCs w:val="24"/>
          <w:shd w:val="clear" w:color="auto" w:fill="C00000"/>
        </w:rPr>
        <w:t xml:space="preserve"> 表2 </w:t>
      </w:r>
      <w:r>
        <w:rPr>
          <w:rFonts w:ascii="仿宋" w:hAnsi="仿宋" w:eastAsia="仿宋"/>
          <w:color w:val="2E75B6" w:themeColor="accent1" w:themeShade="BF"/>
          <w:sz w:val="32"/>
          <w:szCs w:val="32"/>
          <w:u w:color="C00000"/>
        </w:rPr>
        <w:t xml:space="preserve"> </w:t>
      </w:r>
      <w:r>
        <w:rPr>
          <w:rFonts w:ascii="黑体" w:hAnsi="黑体" w:eastAsia="黑体"/>
          <w:sz w:val="24"/>
          <w:szCs w:val="24"/>
          <w:u w:color="C00000"/>
        </w:rPr>
        <w:t>通辽职业学院</w:t>
      </w:r>
      <w:r>
        <w:rPr>
          <w:rFonts w:hint="eastAsia" w:ascii="黑体" w:hAnsi="黑体" w:eastAsia="黑体"/>
          <w:sz w:val="24"/>
          <w:szCs w:val="24"/>
          <w:u w:color="C00000"/>
        </w:rPr>
        <w:t>“学生反馈表”</w:t>
      </w:r>
    </w:p>
    <w:tbl>
      <w:tblPr>
        <w:tblStyle w:val="11"/>
        <w:tblW w:w="8286" w:type="dxa"/>
        <w:tblInd w:w="0" w:type="dxa"/>
        <w:tblLayout w:type="fixed"/>
        <w:tblCellMar>
          <w:top w:w="0" w:type="dxa"/>
          <w:left w:w="0" w:type="dxa"/>
          <w:bottom w:w="0" w:type="dxa"/>
          <w:right w:w="0" w:type="dxa"/>
        </w:tblCellMar>
      </w:tblPr>
      <w:tblGrid>
        <w:gridCol w:w="697"/>
        <w:gridCol w:w="667"/>
        <w:gridCol w:w="528"/>
        <w:gridCol w:w="1974"/>
        <w:gridCol w:w="1327"/>
        <w:gridCol w:w="666"/>
        <w:gridCol w:w="832"/>
        <w:gridCol w:w="831"/>
        <w:gridCol w:w="764"/>
      </w:tblGrid>
      <w:tr>
        <w:tblPrEx>
          <w:tblLayout w:type="fixed"/>
          <w:tblCellMar>
            <w:top w:w="0" w:type="dxa"/>
            <w:left w:w="0" w:type="dxa"/>
            <w:bottom w:w="0" w:type="dxa"/>
            <w:right w:w="0" w:type="dxa"/>
          </w:tblCellMar>
        </w:tblPrEx>
        <w:trPr>
          <w:trHeight w:val="513" w:hRule="atLeast"/>
        </w:trPr>
        <w:tc>
          <w:tcPr>
            <w:tcW w:w="697" w:type="dxa"/>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代码</w:t>
            </w:r>
          </w:p>
        </w:tc>
        <w:tc>
          <w:tcPr>
            <w:tcW w:w="667" w:type="dxa"/>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名称</w:t>
            </w:r>
          </w:p>
        </w:tc>
        <w:tc>
          <w:tcPr>
            <w:tcW w:w="3829" w:type="dxa"/>
            <w:gridSpan w:val="3"/>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指标</w:t>
            </w:r>
          </w:p>
        </w:tc>
        <w:tc>
          <w:tcPr>
            <w:tcW w:w="666" w:type="dxa"/>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单位</w:t>
            </w:r>
          </w:p>
        </w:tc>
        <w:tc>
          <w:tcPr>
            <w:tcW w:w="832" w:type="dxa"/>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一年级</w:t>
            </w:r>
          </w:p>
        </w:tc>
        <w:tc>
          <w:tcPr>
            <w:tcW w:w="831" w:type="dxa"/>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二年级</w:t>
            </w:r>
          </w:p>
        </w:tc>
        <w:tc>
          <w:tcPr>
            <w:tcW w:w="764" w:type="dxa"/>
            <w:tcBorders>
              <w:top w:val="single" w:color="FFFFFF" w:sz="8" w:space="0"/>
              <w:left w:val="single" w:color="FFFFFF" w:sz="8" w:space="0"/>
              <w:bottom w:val="single" w:color="FFFFFF" w:sz="8" w:space="0"/>
              <w:right w:val="single" w:color="FFFFFF" w:sz="8" w:space="0"/>
            </w:tcBorders>
            <w:shd w:val="clear" w:color="auto" w:fill="5B9BD5"/>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备注</w:t>
            </w:r>
          </w:p>
        </w:tc>
      </w:tr>
      <w:tr>
        <w:tblPrEx>
          <w:tblLayout w:type="fixed"/>
          <w:tblCellMar>
            <w:top w:w="0" w:type="dxa"/>
            <w:left w:w="0" w:type="dxa"/>
            <w:bottom w:w="0" w:type="dxa"/>
            <w:right w:w="0" w:type="dxa"/>
          </w:tblCellMar>
        </w:tblPrEx>
        <w:trPr>
          <w:trHeight w:val="137" w:hRule="atLeast"/>
        </w:trPr>
        <w:tc>
          <w:tcPr>
            <w:tcW w:w="697" w:type="dxa"/>
            <w:vMerge w:val="restart"/>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13740</w:t>
            </w:r>
          </w:p>
        </w:tc>
        <w:tc>
          <w:tcPr>
            <w:tcW w:w="667" w:type="dxa"/>
            <w:vMerge w:val="restart"/>
            <w:tcBorders>
              <w:top w:val="single" w:color="FFFFFF" w:sz="8" w:space="0"/>
              <w:left w:val="single" w:color="FFFFFF" w:sz="8" w:space="0"/>
              <w:bottom w:val="single" w:color="FFFFFF" w:sz="8" w:space="0"/>
              <w:right w:val="single" w:color="FFFFFF" w:sz="8" w:space="0"/>
            </w:tcBorders>
            <w:shd w:val="clear" w:color="auto" w:fill="5B9BD5"/>
            <w:tcMar>
              <w:top w:w="15" w:type="dxa"/>
              <w:left w:w="34" w:type="dxa"/>
              <w:bottom w:w="0" w:type="dxa"/>
              <w:right w:w="34"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通辽</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职业</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学院</w:t>
            </w:r>
          </w:p>
        </w:tc>
        <w:tc>
          <w:tcPr>
            <w:tcW w:w="528"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1</w:t>
            </w:r>
          </w:p>
        </w:tc>
        <w:tc>
          <w:tcPr>
            <w:tcW w:w="3301"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全日制在校生人数</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2294</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2173</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137"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2</w:t>
            </w:r>
          </w:p>
        </w:tc>
        <w:tc>
          <w:tcPr>
            <w:tcW w:w="3301" w:type="dxa"/>
            <w:gridSpan w:val="2"/>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教书育人满意度</w:t>
            </w:r>
          </w:p>
        </w:tc>
        <w:tc>
          <w:tcPr>
            <w:tcW w:w="666"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jc w:val="center"/>
              <w:rPr>
                <w:rFonts w:ascii="黑体" w:hAnsi="黑体" w:eastAsia="黑体"/>
                <w:sz w:val="24"/>
                <w:szCs w:val="24"/>
              </w:rPr>
            </w:pPr>
          </w:p>
        </w:tc>
        <w:tc>
          <w:tcPr>
            <w:tcW w:w="831"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jc w:val="center"/>
              <w:rPr>
                <w:rFonts w:ascii="黑体" w:hAnsi="黑体" w:eastAsia="黑体"/>
                <w:sz w:val="24"/>
                <w:szCs w:val="24"/>
              </w:rPr>
            </w:pPr>
          </w:p>
        </w:tc>
        <w:tc>
          <w:tcPr>
            <w:tcW w:w="764" w:type="dxa"/>
            <w:tcBorders>
              <w:top w:val="single" w:color="FFFFFF" w:sz="8" w:space="0"/>
              <w:left w:val="single" w:color="FFFFFF" w:sz="8" w:space="0"/>
              <w:bottom w:val="single" w:color="FFFFFF" w:sz="8" w:space="0"/>
              <w:right w:val="single" w:color="FFFFFF" w:sz="8" w:space="0"/>
            </w:tcBorders>
            <w:shd w:val="clear" w:color="auto" w:fill="DBDEEF"/>
          </w:tcPr>
          <w:p>
            <w:pPr>
              <w:rPr>
                <w:rFonts w:ascii="Calibri" w:hAnsi="Calibri" w:eastAsia="仿宋" w:cs="Calibri"/>
                <w:sz w:val="24"/>
                <w:szCs w:val="24"/>
              </w:rPr>
            </w:pPr>
            <w:r>
              <w:rPr>
                <w:rFonts w:ascii="仿宋" w:hAnsi="仿宋" w:eastAsia="仿宋"/>
                <w:sz w:val="24"/>
                <w:szCs w:val="24"/>
              </w:rPr>
              <w:t>—</w:t>
            </w: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（1）课堂育人</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调研人次</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人次</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10178</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13517</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91.56</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91.32</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（2）课外育人</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调研人次</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人次</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1631</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1742</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98.68</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98.08</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141"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3</w:t>
            </w:r>
          </w:p>
        </w:tc>
        <w:tc>
          <w:tcPr>
            <w:tcW w:w="3301"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课程教学满意度</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Calibri" w:hAnsi="Calibri" w:eastAsia="仿宋" w:cs="Calibri"/>
                <w:sz w:val="24"/>
                <w:szCs w:val="24"/>
              </w:rPr>
            </w:pPr>
            <w:r>
              <w:rPr>
                <w:rFonts w:ascii="仿宋" w:hAnsi="仿宋" w:eastAsia="仿宋"/>
                <w:sz w:val="24"/>
                <w:szCs w:val="24"/>
              </w:rPr>
              <w:t>—</w:t>
            </w: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（1）思想政治课</w:t>
            </w:r>
          </w:p>
        </w:tc>
        <w:tc>
          <w:tcPr>
            <w:tcW w:w="1327"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调研课次</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课次</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142</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58</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95.16</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95.27</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（2）公共基础课（不含思想政治课）</w:t>
            </w:r>
          </w:p>
        </w:tc>
        <w:tc>
          <w:tcPr>
            <w:tcW w:w="1327"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调研课次</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课次</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212</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201</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94.34</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95.11</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（3）专业课教学</w:t>
            </w:r>
          </w:p>
        </w:tc>
        <w:tc>
          <w:tcPr>
            <w:tcW w:w="1327"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调研课次</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课次</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371</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412</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91.32</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91.34</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137"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4</w:t>
            </w:r>
          </w:p>
        </w:tc>
        <w:tc>
          <w:tcPr>
            <w:tcW w:w="3301" w:type="dxa"/>
            <w:gridSpan w:val="2"/>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管理和服务工作满意度</w:t>
            </w:r>
          </w:p>
        </w:tc>
        <w:tc>
          <w:tcPr>
            <w:tcW w:w="666"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jc w:val="center"/>
              <w:rPr>
                <w:rFonts w:ascii="黑体" w:hAnsi="黑体" w:eastAsia="黑体"/>
                <w:sz w:val="24"/>
                <w:szCs w:val="24"/>
              </w:rPr>
            </w:pPr>
          </w:p>
        </w:tc>
        <w:tc>
          <w:tcPr>
            <w:tcW w:w="831"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jc w:val="center"/>
              <w:rPr>
                <w:rFonts w:ascii="黑体" w:hAnsi="黑体" w:eastAsia="黑体"/>
                <w:sz w:val="24"/>
                <w:szCs w:val="24"/>
              </w:rPr>
            </w:pPr>
          </w:p>
        </w:tc>
        <w:tc>
          <w:tcPr>
            <w:tcW w:w="764" w:type="dxa"/>
            <w:tcBorders>
              <w:top w:val="single" w:color="FFFFFF" w:sz="8" w:space="0"/>
              <w:left w:val="single" w:color="FFFFFF" w:sz="8" w:space="0"/>
              <w:bottom w:val="single" w:color="FFFFFF" w:sz="8" w:space="0"/>
              <w:right w:val="single" w:color="FFFFFF" w:sz="8" w:space="0"/>
            </w:tcBorders>
            <w:shd w:val="clear" w:color="auto" w:fill="DBDEEF"/>
          </w:tcPr>
          <w:p>
            <w:pPr>
              <w:rPr>
                <w:rFonts w:ascii="Calibri" w:hAnsi="Calibri" w:eastAsia="仿宋" w:cs="Calibri"/>
                <w:sz w:val="24"/>
                <w:szCs w:val="24"/>
              </w:rPr>
            </w:pPr>
            <w:r>
              <w:rPr>
                <w:rFonts w:ascii="仿宋" w:hAnsi="仿宋" w:eastAsia="仿宋"/>
                <w:sz w:val="24"/>
                <w:szCs w:val="24"/>
              </w:rPr>
              <w:t>—</w:t>
            </w: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（1）学生工作</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调研人次</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人次</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1896</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1903</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96.87</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97.13</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（2）教学管理</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调研人次</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人次</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1890</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1882</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97.03</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98.14</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（3）后勤服务</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调研人次</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人次</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1212</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1289</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满意度</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95.01</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95.78</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256"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5</w:t>
            </w:r>
          </w:p>
        </w:tc>
        <w:tc>
          <w:tcPr>
            <w:tcW w:w="3301"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学生参与志愿者活动时间</w:t>
            </w:r>
          </w:p>
        </w:tc>
        <w:tc>
          <w:tcPr>
            <w:tcW w:w="666"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人日</w:t>
            </w:r>
          </w:p>
        </w:tc>
        <w:tc>
          <w:tcPr>
            <w:tcW w:w="832"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59078</w:t>
            </w:r>
          </w:p>
        </w:tc>
        <w:tc>
          <w:tcPr>
            <w:tcW w:w="831" w:type="dxa"/>
            <w:tcBorders>
              <w:top w:val="single" w:color="FFFFFF" w:sz="8" w:space="0"/>
              <w:left w:val="single" w:color="FFFFFF" w:sz="8" w:space="0"/>
              <w:bottom w:val="single" w:color="FFFFFF" w:sz="8" w:space="0"/>
              <w:right w:val="single" w:color="FFFFFF" w:sz="8" w:space="0"/>
            </w:tcBorders>
            <w:shd w:val="clear" w:color="auto" w:fill="DDDEEF"/>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58855</w:t>
            </w:r>
          </w:p>
        </w:tc>
        <w:tc>
          <w:tcPr>
            <w:tcW w:w="764" w:type="dxa"/>
            <w:tcBorders>
              <w:top w:val="single" w:color="FFFFFF" w:sz="8" w:space="0"/>
              <w:left w:val="single" w:color="FFFFFF" w:sz="8" w:space="0"/>
              <w:bottom w:val="single" w:color="FFFFFF" w:sz="8" w:space="0"/>
              <w:right w:val="single" w:color="FFFFFF" w:sz="8" w:space="0"/>
            </w:tcBorders>
            <w:shd w:val="clear" w:color="auto" w:fill="DDDEEF"/>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141"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6</w:t>
            </w:r>
          </w:p>
        </w:tc>
        <w:tc>
          <w:tcPr>
            <w:tcW w:w="3301" w:type="dxa"/>
            <w:gridSpan w:val="2"/>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学生社团参与度</w:t>
            </w:r>
          </w:p>
        </w:tc>
        <w:tc>
          <w:tcPr>
            <w:tcW w:w="666"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w:t>
            </w:r>
          </w:p>
        </w:tc>
        <w:tc>
          <w:tcPr>
            <w:tcW w:w="832"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jc w:val="center"/>
              <w:rPr>
                <w:rFonts w:ascii="黑体" w:hAnsi="黑体" w:eastAsia="黑体"/>
                <w:sz w:val="24"/>
                <w:szCs w:val="24"/>
              </w:rPr>
            </w:pPr>
          </w:p>
        </w:tc>
        <w:tc>
          <w:tcPr>
            <w:tcW w:w="831" w:type="dxa"/>
            <w:tcBorders>
              <w:top w:val="single" w:color="FFFFFF" w:sz="8" w:space="0"/>
              <w:left w:val="single" w:color="FFFFFF" w:sz="8" w:space="0"/>
              <w:bottom w:val="single" w:color="FFFFFF" w:sz="8" w:space="0"/>
              <w:right w:val="single" w:color="FFFFFF" w:sz="8" w:space="0"/>
            </w:tcBorders>
            <w:shd w:val="clear" w:color="auto" w:fill="DBDEEF"/>
            <w:tcMar>
              <w:top w:w="15" w:type="dxa"/>
              <w:left w:w="34" w:type="dxa"/>
              <w:bottom w:w="0" w:type="dxa"/>
              <w:right w:w="34" w:type="dxa"/>
            </w:tcMar>
          </w:tcPr>
          <w:p>
            <w:pPr>
              <w:jc w:val="center"/>
              <w:rPr>
                <w:rFonts w:ascii="黑体" w:hAnsi="黑体" w:eastAsia="黑体"/>
                <w:sz w:val="24"/>
                <w:szCs w:val="24"/>
              </w:rPr>
            </w:pPr>
          </w:p>
        </w:tc>
        <w:tc>
          <w:tcPr>
            <w:tcW w:w="764" w:type="dxa"/>
            <w:tcBorders>
              <w:top w:val="single" w:color="FFFFFF" w:sz="8" w:space="0"/>
              <w:left w:val="single" w:color="FFFFFF" w:sz="8" w:space="0"/>
              <w:bottom w:val="single" w:color="FFFFFF" w:sz="8" w:space="0"/>
              <w:right w:val="single" w:color="FFFFFF" w:sz="8" w:space="0"/>
            </w:tcBorders>
            <w:shd w:val="clear" w:color="auto" w:fill="DBDEEF"/>
          </w:tcPr>
          <w:p>
            <w:pPr>
              <w:rPr>
                <w:rFonts w:ascii="Calibri" w:hAnsi="Calibri" w:eastAsia="仿宋" w:cs="Calibri"/>
                <w:sz w:val="24"/>
                <w:szCs w:val="24"/>
              </w:rPr>
            </w:pPr>
            <w:r>
              <w:rPr>
                <w:rFonts w:ascii="仿宋" w:hAnsi="仿宋" w:eastAsia="仿宋"/>
                <w:sz w:val="24"/>
                <w:szCs w:val="24"/>
              </w:rPr>
              <w:t>—</w:t>
            </w:r>
          </w:p>
        </w:tc>
      </w:tr>
      <w:tr>
        <w:tblPrEx>
          <w:tblLayout w:type="fixed"/>
          <w:tblCellMar>
            <w:top w:w="0" w:type="dxa"/>
            <w:left w:w="0" w:type="dxa"/>
            <w:bottom w:w="0" w:type="dxa"/>
            <w:right w:w="0" w:type="dxa"/>
          </w:tblCellMar>
        </w:tblPrEx>
        <w:trPr>
          <w:trHeight w:val="256"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（1）</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学生社团数</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个</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28</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28</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rPr>
                <w:rFonts w:ascii="仿宋" w:hAnsi="仿宋" w:eastAsia="仿宋"/>
                <w:sz w:val="24"/>
                <w:szCs w:val="24"/>
              </w:rPr>
            </w:pPr>
            <w:r>
              <w:rPr>
                <w:rFonts w:ascii="仿宋" w:hAnsi="仿宋" w:eastAsia="仿宋"/>
                <w:sz w:val="24"/>
                <w:szCs w:val="24"/>
              </w:rPr>
              <w:t>其中：科技社团数</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个</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4</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4</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385"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（2）</w:t>
            </w: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参与各社团的学生人数</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1981</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1403</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p>
        </w:tc>
      </w:tr>
      <w:tr>
        <w:tblPrEx>
          <w:tblLayout w:type="fixed"/>
          <w:tblCellMar>
            <w:top w:w="0" w:type="dxa"/>
            <w:left w:w="0" w:type="dxa"/>
            <w:bottom w:w="0" w:type="dxa"/>
            <w:right w:w="0" w:type="dxa"/>
          </w:tblCellMar>
        </w:tblPrEx>
        <w:trPr>
          <w:trHeight w:val="513" w:hRule="atLeast"/>
        </w:trPr>
        <w:tc>
          <w:tcPr>
            <w:tcW w:w="69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28"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974"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1327"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其中：科技社团学生人数</w:t>
            </w:r>
          </w:p>
        </w:tc>
        <w:tc>
          <w:tcPr>
            <w:tcW w:w="666"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vAlign w:val="center"/>
          </w:tcPr>
          <w:p>
            <w:pPr>
              <w:rPr>
                <w:rFonts w:ascii="仿宋" w:hAnsi="仿宋" w:eastAsia="仿宋"/>
                <w:sz w:val="24"/>
                <w:szCs w:val="24"/>
              </w:rPr>
            </w:pPr>
            <w:r>
              <w:rPr>
                <w:rFonts w:ascii="仿宋" w:hAnsi="仿宋" w:eastAsia="仿宋"/>
                <w:sz w:val="24"/>
                <w:szCs w:val="24"/>
              </w:rPr>
              <w:t>人</w:t>
            </w:r>
          </w:p>
        </w:tc>
        <w:tc>
          <w:tcPr>
            <w:tcW w:w="832"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ascii="黑体" w:hAnsi="黑体" w:eastAsia="黑体"/>
                <w:sz w:val="24"/>
                <w:szCs w:val="24"/>
              </w:rPr>
              <w:t>187</w:t>
            </w:r>
          </w:p>
        </w:tc>
        <w:tc>
          <w:tcPr>
            <w:tcW w:w="831" w:type="dxa"/>
            <w:tcBorders>
              <w:top w:val="single" w:color="FFFFFF" w:sz="8" w:space="0"/>
              <w:left w:val="single" w:color="FFFFFF" w:sz="8" w:space="0"/>
              <w:bottom w:val="single" w:color="FFFFFF" w:sz="8" w:space="0"/>
              <w:right w:val="single" w:color="FFFFFF" w:sz="8" w:space="0"/>
            </w:tcBorders>
            <w:shd w:val="clear" w:color="auto" w:fill="EAEFF7"/>
            <w:tcMar>
              <w:top w:w="15" w:type="dxa"/>
              <w:left w:w="34" w:type="dxa"/>
              <w:bottom w:w="0" w:type="dxa"/>
              <w:right w:w="34" w:type="dxa"/>
            </w:tcMa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63</w:t>
            </w:r>
          </w:p>
        </w:tc>
        <w:tc>
          <w:tcPr>
            <w:tcW w:w="764" w:type="dxa"/>
            <w:tcBorders>
              <w:top w:val="single" w:color="FFFFFF" w:sz="8" w:space="0"/>
              <w:left w:val="single" w:color="FFFFFF" w:sz="8" w:space="0"/>
              <w:bottom w:val="single" w:color="FFFFFF" w:sz="8" w:space="0"/>
              <w:right w:val="single" w:color="FFFFFF" w:sz="8" w:space="0"/>
            </w:tcBorders>
            <w:shd w:val="clear" w:color="auto" w:fill="EAEFF7"/>
          </w:tcPr>
          <w:p>
            <w:pPr>
              <w:rPr>
                <w:rFonts w:ascii="仿宋" w:hAnsi="仿宋" w:eastAsia="仿宋"/>
                <w:sz w:val="24"/>
                <w:szCs w:val="24"/>
              </w:rPr>
            </w:pPr>
            <w:r>
              <w:rPr>
                <w:rFonts w:ascii="仿宋" w:hAnsi="仿宋" w:eastAsia="仿宋"/>
                <w:sz w:val="24"/>
                <w:szCs w:val="24"/>
              </w:rPr>
              <w:t>详见表</w:t>
            </w:r>
            <w:r>
              <w:rPr>
                <w:rFonts w:hint="eastAsia" w:ascii="仿宋" w:hAnsi="仿宋" w:eastAsia="仿宋"/>
                <w:sz w:val="24"/>
                <w:szCs w:val="24"/>
              </w:rPr>
              <w:t>2-</w:t>
            </w:r>
            <w:r>
              <w:rPr>
                <w:rFonts w:ascii="仿宋" w:hAnsi="仿宋" w:eastAsia="仿宋"/>
                <w:sz w:val="24"/>
                <w:szCs w:val="24"/>
              </w:rPr>
              <w:t>2</w:t>
            </w:r>
          </w:p>
        </w:tc>
      </w:tr>
    </w:tbl>
    <w:p>
      <w:pPr>
        <w:rPr>
          <w:rFonts w:ascii="黑体" w:hAnsi="黑体" w:eastAsia="黑体"/>
          <w:szCs w:val="21"/>
        </w:rPr>
      </w:pPr>
    </w:p>
    <w:p>
      <w:pPr>
        <w:rPr>
          <w:rFonts w:ascii="黑体" w:hAnsi="黑体" w:eastAsia="黑体"/>
          <w:szCs w:val="21"/>
        </w:rPr>
      </w:pPr>
      <w:r>
        <w:rPr>
          <w:rFonts w:ascii="黑体" w:hAnsi="黑体" w:eastAsia="黑体"/>
          <w:szCs w:val="21"/>
        </w:rPr>
        <w:t>表</w:t>
      </w:r>
      <w:r>
        <w:rPr>
          <w:rFonts w:hint="eastAsia" w:ascii="黑体" w:hAnsi="黑体" w:eastAsia="黑体"/>
          <w:szCs w:val="21"/>
        </w:rPr>
        <w:t>2-</w:t>
      </w:r>
      <w:r>
        <w:rPr>
          <w:rFonts w:ascii="黑体" w:hAnsi="黑体" w:eastAsia="黑体"/>
          <w:szCs w:val="21"/>
        </w:rPr>
        <w:t>2</w:t>
      </w:r>
      <w:r>
        <w:rPr>
          <w:rFonts w:hint="eastAsia" w:ascii="黑体" w:hAnsi="黑体" w:eastAsia="黑体"/>
          <w:szCs w:val="21"/>
        </w:rPr>
        <w:t>：</w:t>
      </w:r>
      <w:r>
        <w:rPr>
          <w:rFonts w:ascii="黑体" w:hAnsi="黑体" w:eastAsia="黑体"/>
          <w:szCs w:val="21"/>
        </w:rPr>
        <w:t>参与各社团的学生数</w:t>
      </w:r>
    </w:p>
    <w:tbl>
      <w:tblPr>
        <w:tblStyle w:val="11"/>
        <w:tblW w:w="8310" w:type="dxa"/>
        <w:tblInd w:w="0" w:type="dxa"/>
        <w:tblLayout w:type="fixed"/>
        <w:tblCellMar>
          <w:top w:w="0" w:type="dxa"/>
          <w:left w:w="0" w:type="dxa"/>
          <w:bottom w:w="0" w:type="dxa"/>
          <w:right w:w="0" w:type="dxa"/>
        </w:tblCellMar>
      </w:tblPr>
      <w:tblGrid>
        <w:gridCol w:w="927"/>
        <w:gridCol w:w="3396"/>
        <w:gridCol w:w="1317"/>
        <w:gridCol w:w="1317"/>
        <w:gridCol w:w="1353"/>
      </w:tblGrid>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24"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序号</w:t>
            </w:r>
          </w:p>
        </w:tc>
        <w:tc>
          <w:tcPr>
            <w:tcW w:w="3396" w:type="dxa"/>
            <w:tcBorders>
              <w:top w:val="single" w:color="FFFFFF" w:sz="8" w:space="0"/>
              <w:left w:val="single" w:color="FFFFFF" w:sz="8" w:space="0"/>
              <w:bottom w:val="single" w:color="FFFFFF" w:sz="24"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社团名称</w:t>
            </w:r>
          </w:p>
        </w:tc>
        <w:tc>
          <w:tcPr>
            <w:tcW w:w="1317" w:type="dxa"/>
            <w:tcBorders>
              <w:top w:val="single" w:color="FFFFFF" w:sz="8" w:space="0"/>
              <w:left w:val="single" w:color="FFFFFF" w:sz="8" w:space="0"/>
              <w:bottom w:val="single" w:color="FFFFFF" w:sz="24"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一年级</w:t>
            </w:r>
          </w:p>
        </w:tc>
        <w:tc>
          <w:tcPr>
            <w:tcW w:w="1317" w:type="dxa"/>
            <w:tcBorders>
              <w:top w:val="single" w:color="FFFFFF" w:sz="8" w:space="0"/>
              <w:left w:val="single" w:color="FFFFFF" w:sz="8" w:space="0"/>
              <w:bottom w:val="single" w:color="FFFFFF" w:sz="24"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二年级</w:t>
            </w:r>
          </w:p>
        </w:tc>
        <w:tc>
          <w:tcPr>
            <w:tcW w:w="1353" w:type="dxa"/>
            <w:tcBorders>
              <w:top w:val="single" w:color="FFFFFF" w:sz="8" w:space="0"/>
              <w:left w:val="single" w:color="FFFFFF" w:sz="8" w:space="0"/>
              <w:bottom w:val="single" w:color="FFFFFF" w:sz="24"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人数</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24"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w:t>
            </w:r>
          </w:p>
        </w:tc>
        <w:tc>
          <w:tcPr>
            <w:tcW w:w="3396" w:type="dxa"/>
            <w:tcBorders>
              <w:top w:val="single" w:color="FFFFFF" w:sz="24"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扣响青春排球社团</w:t>
            </w:r>
          </w:p>
        </w:tc>
        <w:tc>
          <w:tcPr>
            <w:tcW w:w="1317" w:type="dxa"/>
            <w:tcBorders>
              <w:top w:val="single" w:color="FFFFFF" w:sz="24"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56</w:t>
            </w:r>
          </w:p>
        </w:tc>
        <w:tc>
          <w:tcPr>
            <w:tcW w:w="1317" w:type="dxa"/>
            <w:tcBorders>
              <w:top w:val="single" w:color="FFFFFF" w:sz="24"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47</w:t>
            </w:r>
          </w:p>
        </w:tc>
        <w:tc>
          <w:tcPr>
            <w:tcW w:w="1353" w:type="dxa"/>
            <w:tcBorders>
              <w:top w:val="single" w:color="FFFFFF" w:sz="24"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103</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同路人足球社团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82</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73</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155</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3</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紫金篮球社团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91</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80</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171</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4</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飞羽羽毛球社团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65</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47</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112</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5</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火舞健美操社团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15</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9</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24</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6</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梵提瑜伽社团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103</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96</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199</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7</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嗨乐社团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56</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48</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104</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8</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零下舞度社团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134</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112</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246</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9</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第一旋律社团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22</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18</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40</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10</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白衣天使合唱社团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46</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36</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82</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11</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兰亭雅韵书法社团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174</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148</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322</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12</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金声玉振朗读者社团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86</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73</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159</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13</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金声玉振文学社团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41</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29</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70</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14</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北禾话剧社团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56</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51</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107</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15</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青春梦网络科技社团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36</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29</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65</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16</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木林森环建社团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74</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63</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137</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17</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护士礼仪社团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26</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14</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40</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18</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唯美汇美术社团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65</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53</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118</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19</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匠辛科尔沁版画社团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76</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59</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135</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中医药养生社团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191</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149</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340</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21</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创业就业社团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25</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21</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46</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22</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明日之星广播记者社团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90</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72</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162</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23</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摄影社团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46</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41</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87</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24</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新星乒乓球社团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81</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72</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153</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25</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漫画者社团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53</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42</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95</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26</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男护社团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38</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29</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67</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27</w:t>
            </w:r>
          </w:p>
        </w:tc>
        <w:tc>
          <w:tcPr>
            <w:tcW w:w="3396"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造价之星社团</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12</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8</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20</w:t>
            </w:r>
          </w:p>
        </w:tc>
      </w:tr>
      <w:tr>
        <w:tblPrEx>
          <w:tblLayout w:type="fixed"/>
          <w:tblCellMar>
            <w:top w:w="0" w:type="dxa"/>
            <w:left w:w="0" w:type="dxa"/>
            <w:bottom w:w="0" w:type="dxa"/>
            <w:right w:w="0" w:type="dxa"/>
          </w:tblCellMar>
        </w:tblPrEx>
        <w:trPr>
          <w:trHeight w:val="397"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28</w:t>
            </w:r>
          </w:p>
        </w:tc>
        <w:tc>
          <w:tcPr>
            <w:tcW w:w="3396"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仿宋" w:hAnsi="仿宋" w:eastAsia="仿宋"/>
                <w:sz w:val="24"/>
                <w:szCs w:val="24"/>
              </w:rPr>
            </w:pPr>
            <w:r>
              <w:rPr>
                <w:rFonts w:ascii="仿宋" w:hAnsi="仿宋" w:eastAsia="仿宋"/>
                <w:sz w:val="24"/>
                <w:szCs w:val="24"/>
              </w:rPr>
              <w:t>汽车电子社团</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15</w:t>
            </w:r>
          </w:p>
        </w:tc>
        <w:tc>
          <w:tcPr>
            <w:tcW w:w="1317"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10</w:t>
            </w:r>
          </w:p>
        </w:tc>
        <w:tc>
          <w:tcPr>
            <w:tcW w:w="1353" w:type="dxa"/>
            <w:tcBorders>
              <w:top w:val="single" w:color="FFFFFF" w:sz="8" w:space="0"/>
              <w:left w:val="single" w:color="FFFFFF" w:sz="8" w:space="0"/>
              <w:bottom w:val="single" w:color="FFFFFF" w:sz="8" w:space="0"/>
              <w:right w:val="single" w:color="FFFFFF" w:sz="8" w:space="0"/>
            </w:tcBorders>
            <w:shd w:val="clear" w:color="auto" w:fill="EAEFF7"/>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25</w:t>
            </w:r>
          </w:p>
        </w:tc>
      </w:tr>
      <w:tr>
        <w:tblPrEx>
          <w:tblLayout w:type="fixed"/>
          <w:tblCellMar>
            <w:top w:w="0" w:type="dxa"/>
            <w:left w:w="0" w:type="dxa"/>
            <w:bottom w:w="0" w:type="dxa"/>
            <w:right w:w="0" w:type="dxa"/>
          </w:tblCellMar>
        </w:tblPrEx>
        <w:trPr>
          <w:trHeight w:val="397" w:hRule="atLeast"/>
        </w:trPr>
        <w:tc>
          <w:tcPr>
            <w:tcW w:w="4323" w:type="dxa"/>
            <w:gridSpan w:val="2"/>
            <w:tcBorders>
              <w:top w:val="single" w:color="FFFFFF" w:sz="8" w:space="0"/>
              <w:left w:val="single" w:color="FFFFFF" w:sz="8" w:space="0"/>
              <w:bottom w:val="single" w:color="FFFFFF" w:sz="8" w:space="0"/>
              <w:right w:val="single" w:color="FFFFFF" w:sz="8" w:space="0"/>
            </w:tcBorders>
            <w:shd w:val="clear" w:color="auto" w:fill="5B9BD5"/>
            <w:tcMar>
              <w:top w:w="9" w:type="dxa"/>
              <w:left w:w="9" w:type="dxa"/>
              <w:bottom w:w="0" w:type="dxa"/>
              <w:right w:w="9" w:type="dxa"/>
            </w:tcMar>
            <w:vAlign w:val="center"/>
          </w:tcPr>
          <w:p>
            <w:pPr>
              <w:jc w:val="center"/>
              <w:rPr>
                <w:rFonts w:ascii="黑体" w:hAnsi="黑体" w:eastAsia="黑体"/>
                <w:color w:val="2E75B6" w:themeColor="accent1" w:themeShade="BF"/>
                <w:sz w:val="24"/>
                <w:szCs w:val="24"/>
              </w:rPr>
            </w:pPr>
            <w:r>
              <w:rPr>
                <w:rFonts w:ascii="黑体" w:hAnsi="黑体" w:eastAsia="黑体"/>
                <w:bCs/>
                <w:color w:val="FFFFFF" w:themeColor="background1"/>
                <w:sz w:val="24"/>
                <w:szCs w:val="24"/>
                <w14:textFill>
                  <w14:solidFill>
                    <w14:schemeClr w14:val="bg1"/>
                  </w14:solidFill>
                </w14:textFill>
              </w:rPr>
              <w:t>总人数</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1855</w:t>
            </w:r>
          </w:p>
        </w:tc>
        <w:tc>
          <w:tcPr>
            <w:tcW w:w="1317"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1529</w:t>
            </w:r>
          </w:p>
        </w:tc>
        <w:tc>
          <w:tcPr>
            <w:tcW w:w="1353" w:type="dxa"/>
            <w:tcBorders>
              <w:top w:val="single" w:color="FFFFFF" w:sz="8" w:space="0"/>
              <w:left w:val="single" w:color="FFFFFF" w:sz="8" w:space="0"/>
              <w:bottom w:val="single" w:color="FFFFFF" w:sz="8" w:space="0"/>
              <w:right w:val="single" w:color="FFFFFF" w:sz="8" w:space="0"/>
            </w:tcBorders>
            <w:shd w:val="clear" w:color="auto" w:fill="D2DEEF"/>
            <w:tcMar>
              <w:top w:w="9" w:type="dxa"/>
              <w:left w:w="9" w:type="dxa"/>
              <w:bottom w:w="0" w:type="dxa"/>
              <w:right w:w="9" w:type="dxa"/>
            </w:tcMar>
            <w:vAlign w:val="center"/>
          </w:tcPr>
          <w:p>
            <w:pPr>
              <w:jc w:val="center"/>
              <w:rPr>
                <w:rFonts w:ascii="黑体" w:hAnsi="黑体" w:eastAsia="黑体"/>
                <w:sz w:val="24"/>
                <w:szCs w:val="24"/>
              </w:rPr>
            </w:pPr>
            <w:r>
              <w:rPr>
                <w:rFonts w:ascii="黑体" w:hAnsi="黑体" w:eastAsia="黑体"/>
                <w:sz w:val="24"/>
                <w:szCs w:val="24"/>
              </w:rPr>
              <w:t>3384</w:t>
            </w:r>
          </w:p>
        </w:tc>
      </w:tr>
    </w:tbl>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spacing w:after="156" w:afterLines="50"/>
        <w:rPr>
          <w:rFonts w:ascii="黑体" w:hAnsi="黑体" w:eastAsia="黑体"/>
          <w:sz w:val="24"/>
          <w:szCs w:val="24"/>
          <w:u w:color="C00000"/>
        </w:rPr>
      </w:pPr>
      <w:r>
        <w:rPr>
          <w:rFonts w:ascii="黑体" w:hAnsi="黑体" w:eastAsia="黑体"/>
          <w:b/>
          <w:sz w:val="24"/>
          <w:szCs w:val="24"/>
        </w:rPr>
        <mc:AlternateContent>
          <mc:Choice Requires="wps">
            <w:drawing>
              <wp:anchor distT="0" distB="0" distL="114300" distR="114300" simplePos="0" relativeHeight="251664384" behindDoc="0" locked="0" layoutInCell="1" allowOverlap="1">
                <wp:simplePos x="0" y="0"/>
                <wp:positionH relativeFrom="column">
                  <wp:posOffset>387350</wp:posOffset>
                </wp:positionH>
                <wp:positionV relativeFrom="paragraph">
                  <wp:posOffset>184150</wp:posOffset>
                </wp:positionV>
                <wp:extent cx="1885950" cy="0"/>
                <wp:effectExtent l="0" t="0" r="19050" b="19050"/>
                <wp:wrapNone/>
                <wp:docPr id="17" name="直接连接符 17"/>
                <wp:cNvGraphicFramePr/>
                <a:graphic xmlns:a="http://schemas.openxmlformats.org/drawingml/2006/main">
                  <a:graphicData uri="http://schemas.microsoft.com/office/word/2010/wordprocessingShape">
                    <wps:wsp>
                      <wps:cNvCnPr/>
                      <wps:spPr>
                        <a:xfrm>
                          <a:off x="0" y="0"/>
                          <a:ext cx="188595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pt;margin-top:14.5pt;height:0pt;width:148.5pt;z-index:251664384;mso-width-relative:page;mso-height-relative:page;" filled="f" stroked="t" coordsize="21600,21600" o:gfxdata="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PlVuPPVAAAACAEAAA8AAAAAAAAAAQAgAAAAIgAAAGRycy9kb3du&#10;cmV2LnhtbFBLAQIUABQAAAAIAIdO4kAxtOMlyQEAAGYDAAAOAAAAAAAAAAEAIAAAACQBAABkcnMv&#10;ZTJvRG9jLnhtbFBLBQYAAAAABgAGAFkBAABfBQAAAAA=&#10;">
                <v:fill on="f" focussize="0,0"/>
                <v:stroke weight="1pt" color="#C00000 [3204]" miterlimit="8" joinstyle="miter"/>
                <v:imagedata o:title=""/>
                <o:lock v:ext="edit" aspectratio="f"/>
              </v:line>
            </w:pict>
          </mc:Fallback>
        </mc:AlternateContent>
      </w:r>
      <w:r>
        <w:rPr>
          <w:rFonts w:ascii="黑体" w:hAnsi="黑体" w:eastAsia="黑体"/>
          <w:b/>
          <w:sz w:val="24"/>
          <w:szCs w:val="24"/>
          <w:shd w:val="clear" w:color="auto" w:fill="C00000"/>
        </w:rPr>
        <w:t xml:space="preserve"> 表3 </w:t>
      </w:r>
      <w:r>
        <w:rPr>
          <w:rFonts w:ascii="仿宋" w:hAnsi="仿宋" w:eastAsia="仿宋"/>
          <w:color w:val="2E75B6" w:themeColor="accent1" w:themeShade="BF"/>
          <w:sz w:val="32"/>
          <w:szCs w:val="32"/>
          <w:u w:color="C00000"/>
        </w:rPr>
        <w:t xml:space="preserve"> </w:t>
      </w:r>
      <w:r>
        <w:rPr>
          <w:rFonts w:ascii="黑体" w:hAnsi="黑体" w:eastAsia="黑体"/>
          <w:sz w:val="24"/>
          <w:szCs w:val="24"/>
          <w:u w:color="C00000"/>
        </w:rPr>
        <w:t>通辽职业学院</w:t>
      </w:r>
      <w:r>
        <w:rPr>
          <w:rFonts w:hint="eastAsia" w:ascii="黑体" w:hAnsi="黑体" w:eastAsia="黑体"/>
          <w:sz w:val="24"/>
          <w:szCs w:val="24"/>
          <w:u w:color="C00000"/>
        </w:rPr>
        <w:t>“资源表”</w:t>
      </w:r>
    </w:p>
    <w:tbl>
      <w:tblPr>
        <w:tblStyle w:val="11"/>
        <w:tblW w:w="8339" w:type="dxa"/>
        <w:tblInd w:w="0" w:type="dxa"/>
        <w:tblLayout w:type="fixed"/>
        <w:tblCellMar>
          <w:top w:w="0" w:type="dxa"/>
          <w:left w:w="0" w:type="dxa"/>
          <w:bottom w:w="0" w:type="dxa"/>
          <w:right w:w="0" w:type="dxa"/>
        </w:tblCellMar>
      </w:tblPr>
      <w:tblGrid>
        <w:gridCol w:w="841"/>
        <w:gridCol w:w="850"/>
        <w:gridCol w:w="567"/>
        <w:gridCol w:w="851"/>
        <w:gridCol w:w="2316"/>
        <w:gridCol w:w="770"/>
        <w:gridCol w:w="1133"/>
        <w:gridCol w:w="1011"/>
      </w:tblGrid>
      <w:tr>
        <w:tblPrEx>
          <w:tblLayout w:type="fixed"/>
          <w:tblCellMar>
            <w:top w:w="0" w:type="dxa"/>
            <w:left w:w="0" w:type="dxa"/>
            <w:bottom w:w="0" w:type="dxa"/>
            <w:right w:w="0" w:type="dxa"/>
          </w:tblCellMar>
        </w:tblPrEx>
        <w:trPr>
          <w:trHeight w:val="453" w:hRule="atLeast"/>
        </w:trPr>
        <w:tc>
          <w:tcPr>
            <w:tcW w:w="8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83" w:type="dxa"/>
              <w:bottom w:w="0" w:type="dxa"/>
              <w:right w:w="8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院校代码</w:t>
            </w:r>
          </w:p>
        </w:tc>
        <w:tc>
          <w:tcPr>
            <w:tcW w:w="850" w:type="dxa"/>
            <w:tcBorders>
              <w:top w:val="single" w:color="FFFFFF" w:sz="8" w:space="0"/>
              <w:left w:val="single" w:color="FFFFFF" w:sz="8" w:space="0"/>
              <w:bottom w:val="single" w:color="FFFFFF" w:sz="8" w:space="0"/>
              <w:right w:val="single" w:color="FFFFFF" w:sz="8" w:space="0"/>
            </w:tcBorders>
            <w:shd w:val="clear" w:color="auto" w:fill="5B9BD5"/>
            <w:tcMar>
              <w:top w:w="15" w:type="dxa"/>
              <w:left w:w="83" w:type="dxa"/>
              <w:bottom w:w="0" w:type="dxa"/>
              <w:right w:w="8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院校名称</w:t>
            </w:r>
          </w:p>
        </w:tc>
        <w:tc>
          <w:tcPr>
            <w:tcW w:w="3734" w:type="dxa"/>
            <w:gridSpan w:val="3"/>
            <w:tcBorders>
              <w:top w:val="single" w:color="FFFFFF" w:sz="8" w:space="0"/>
              <w:left w:val="single" w:color="FFFFFF" w:sz="8" w:space="0"/>
              <w:bottom w:val="single" w:color="FFFFFF" w:sz="8" w:space="0"/>
              <w:right w:val="single" w:color="FFFFFF" w:sz="8" w:space="0"/>
            </w:tcBorders>
            <w:shd w:val="clear" w:color="auto" w:fill="5B9BD5"/>
            <w:tcMar>
              <w:top w:w="15" w:type="dxa"/>
              <w:left w:w="83" w:type="dxa"/>
              <w:bottom w:w="0" w:type="dxa"/>
              <w:right w:w="8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指标</w:t>
            </w:r>
          </w:p>
        </w:tc>
        <w:tc>
          <w:tcPr>
            <w:tcW w:w="770" w:type="dxa"/>
            <w:tcBorders>
              <w:top w:val="single" w:color="FFFFFF" w:sz="8" w:space="0"/>
              <w:left w:val="single" w:color="FFFFFF" w:sz="8" w:space="0"/>
              <w:bottom w:val="single" w:color="FFFFFF" w:sz="8" w:space="0"/>
              <w:right w:val="single" w:color="FFFFFF" w:sz="8" w:space="0"/>
            </w:tcBorders>
            <w:shd w:val="clear" w:color="auto" w:fill="5B9BD5"/>
            <w:tcMar>
              <w:top w:w="15" w:type="dxa"/>
              <w:left w:w="83" w:type="dxa"/>
              <w:bottom w:w="0" w:type="dxa"/>
              <w:right w:w="8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单位</w:t>
            </w:r>
          </w:p>
        </w:tc>
        <w:tc>
          <w:tcPr>
            <w:tcW w:w="1133" w:type="dxa"/>
            <w:tcBorders>
              <w:top w:val="single" w:color="FFFFFF" w:sz="8" w:space="0"/>
              <w:left w:val="single" w:color="FFFFFF" w:sz="8" w:space="0"/>
              <w:bottom w:val="single" w:color="FFFFFF" w:sz="8" w:space="0"/>
              <w:right w:val="single" w:color="FFFFFF" w:sz="8" w:space="0"/>
            </w:tcBorders>
            <w:shd w:val="clear" w:color="auto" w:fill="5B9BD5"/>
            <w:tcMar>
              <w:top w:w="15" w:type="dxa"/>
              <w:left w:w="83" w:type="dxa"/>
              <w:bottom w:w="0" w:type="dxa"/>
              <w:right w:w="8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2018年</w:t>
            </w:r>
          </w:p>
        </w:tc>
        <w:tc>
          <w:tcPr>
            <w:tcW w:w="1011" w:type="dxa"/>
            <w:tcBorders>
              <w:top w:val="single" w:color="FFFFFF" w:sz="8" w:space="0"/>
              <w:left w:val="single" w:color="FFFFFF" w:sz="8" w:space="0"/>
              <w:bottom w:val="single" w:color="FFFFFF" w:sz="8" w:space="0"/>
              <w:right w:val="single" w:color="FFFFFF" w:sz="8" w:space="0"/>
            </w:tcBorders>
            <w:shd w:val="clear" w:color="auto" w:fill="5B9BD5"/>
            <w:tcMar>
              <w:top w:w="15" w:type="dxa"/>
              <w:left w:w="83" w:type="dxa"/>
              <w:bottom w:w="0" w:type="dxa"/>
              <w:right w:w="8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2019年</w:t>
            </w:r>
          </w:p>
        </w:tc>
      </w:tr>
      <w:tr>
        <w:tblPrEx>
          <w:tblLayout w:type="fixed"/>
          <w:tblCellMar>
            <w:top w:w="0" w:type="dxa"/>
            <w:left w:w="0" w:type="dxa"/>
            <w:bottom w:w="0" w:type="dxa"/>
            <w:right w:w="0" w:type="dxa"/>
          </w:tblCellMar>
        </w:tblPrEx>
        <w:trPr>
          <w:trHeight w:val="357" w:hRule="atLeast"/>
        </w:trPr>
        <w:tc>
          <w:tcPr>
            <w:tcW w:w="841" w:type="dxa"/>
            <w:vMerge w:val="restart"/>
            <w:tcBorders>
              <w:top w:val="single" w:color="FFFFFF" w:sz="8" w:space="0"/>
              <w:left w:val="single" w:color="FFFFFF" w:sz="8" w:space="0"/>
              <w:right w:val="single" w:color="FFFFFF" w:sz="8" w:space="0"/>
            </w:tcBorders>
            <w:shd w:val="clear" w:color="auto" w:fill="5B9BD5"/>
            <w:tcMar>
              <w:top w:w="15" w:type="dxa"/>
              <w:left w:w="83" w:type="dxa"/>
              <w:bottom w:w="0" w:type="dxa"/>
              <w:right w:w="83" w:type="dxa"/>
            </w:tcMar>
            <w:vAlign w:val="center"/>
          </w:tcPr>
          <w:p>
            <w:pPr>
              <w:rPr>
                <w:rFonts w:ascii="黑体" w:hAnsi="黑体" w:eastAsia="黑体"/>
                <w:color w:val="FFFFFF" w:themeColor="background1"/>
                <w:sz w:val="24"/>
                <w:szCs w:val="24"/>
                <w14:textFill>
                  <w14:solidFill>
                    <w14:schemeClr w14:val="bg1"/>
                  </w14:solidFill>
                </w14:textFill>
              </w:rPr>
            </w:pPr>
            <w:r>
              <w:rPr>
                <w:rFonts w:ascii="Calibri" w:hAnsi="Calibri" w:eastAsia="黑体" w:cs="Calibri"/>
                <w:color w:val="FFFFFF" w:themeColor="background1"/>
                <w:sz w:val="24"/>
                <w:szCs w:val="24"/>
                <w14:textFill>
                  <w14:solidFill>
                    <w14:schemeClr w14:val="bg1"/>
                  </w14:solidFill>
                </w14:textFill>
              </w:rPr>
              <w:t> </w:t>
            </w:r>
            <w:r>
              <w:rPr>
                <w:rFonts w:ascii="黑体" w:hAnsi="黑体" w:eastAsia="黑体" w:cs="Calibri"/>
                <w:color w:val="FFFFFF" w:themeColor="background1"/>
                <w:sz w:val="24"/>
                <w:szCs w:val="24"/>
                <w14:textFill>
                  <w14:solidFill>
                    <w14:schemeClr w14:val="bg1"/>
                  </w14:solidFill>
                </w14:textFill>
              </w:rPr>
              <w:t>13740</w:t>
            </w:r>
          </w:p>
        </w:tc>
        <w:tc>
          <w:tcPr>
            <w:tcW w:w="850" w:type="dxa"/>
            <w:vMerge w:val="restart"/>
            <w:tcBorders>
              <w:top w:val="single" w:color="FFFFFF" w:sz="8" w:space="0"/>
              <w:left w:val="single" w:color="FFFFFF" w:sz="8" w:space="0"/>
              <w:right w:val="single" w:color="FFFFFF" w:sz="8" w:space="0"/>
            </w:tcBorders>
            <w:shd w:val="clear" w:color="auto" w:fill="5B9BD5"/>
            <w:tcMar>
              <w:top w:w="15" w:type="dxa"/>
              <w:left w:w="83" w:type="dxa"/>
              <w:bottom w:w="0" w:type="dxa"/>
              <w:right w:w="83" w:type="dxa"/>
            </w:tcMar>
            <w:vAlign w:val="center"/>
          </w:tcPr>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通辽</w:t>
            </w:r>
          </w:p>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职业</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学院</w:t>
            </w:r>
          </w:p>
        </w:tc>
        <w:tc>
          <w:tcPr>
            <w:tcW w:w="567"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1</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生师比</w:t>
            </w:r>
          </w:p>
        </w:tc>
        <w:tc>
          <w:tcPr>
            <w:tcW w:w="770"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w:t>
            </w:r>
          </w:p>
        </w:tc>
        <w:tc>
          <w:tcPr>
            <w:tcW w:w="1133"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11.95</w:t>
            </w:r>
          </w:p>
        </w:tc>
        <w:tc>
          <w:tcPr>
            <w:tcW w:w="1011"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14.47</w:t>
            </w:r>
          </w:p>
        </w:tc>
      </w:tr>
      <w:tr>
        <w:tblPrEx>
          <w:tblLayout w:type="fixed"/>
          <w:tblCellMar>
            <w:top w:w="0" w:type="dxa"/>
            <w:left w:w="0" w:type="dxa"/>
            <w:bottom w:w="0" w:type="dxa"/>
            <w:right w:w="0" w:type="dxa"/>
          </w:tblCellMar>
        </w:tblPrEx>
        <w:trPr>
          <w:trHeight w:val="368"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2</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双师素质专任教师比例</w:t>
            </w:r>
          </w:p>
        </w:tc>
        <w:tc>
          <w:tcPr>
            <w:tcW w:w="770"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w:t>
            </w:r>
          </w:p>
        </w:tc>
        <w:tc>
          <w:tcPr>
            <w:tcW w:w="1133"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45.98</w:t>
            </w:r>
          </w:p>
        </w:tc>
        <w:tc>
          <w:tcPr>
            <w:tcW w:w="1011"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46.62</w:t>
            </w:r>
          </w:p>
        </w:tc>
      </w:tr>
      <w:tr>
        <w:tblPrEx>
          <w:tblLayout w:type="fixed"/>
          <w:tblCellMar>
            <w:top w:w="0" w:type="dxa"/>
            <w:left w:w="0" w:type="dxa"/>
            <w:bottom w:w="0" w:type="dxa"/>
            <w:right w:w="0" w:type="dxa"/>
          </w:tblCellMar>
        </w:tblPrEx>
        <w:trPr>
          <w:trHeight w:val="368"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hint="eastAsia" w:ascii="仿宋" w:hAnsi="仿宋" w:eastAsia="仿宋"/>
                <w:sz w:val="24"/>
                <w:szCs w:val="24"/>
              </w:rPr>
              <w:t>3</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高级专业技术职务专任教师比例</w:t>
            </w:r>
          </w:p>
        </w:tc>
        <w:tc>
          <w:tcPr>
            <w:tcW w:w="770"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w:t>
            </w:r>
          </w:p>
        </w:tc>
        <w:tc>
          <w:tcPr>
            <w:tcW w:w="1133"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cs="Calibri"/>
                <w:sz w:val="24"/>
                <w:szCs w:val="24"/>
              </w:rPr>
            </w:pPr>
            <w:r>
              <w:rPr>
                <w:rFonts w:ascii="黑体" w:hAnsi="黑体" w:eastAsia="黑体" w:cs="Calibri"/>
                <w:sz w:val="24"/>
                <w:szCs w:val="24"/>
              </w:rPr>
              <w:t>33</w:t>
            </w:r>
            <w:r>
              <w:rPr>
                <w:rFonts w:hint="eastAsia" w:ascii="黑体" w:hAnsi="黑体" w:eastAsia="黑体" w:cs="Calibri"/>
                <w:sz w:val="24"/>
                <w:szCs w:val="24"/>
              </w:rPr>
              <w:t>.</w:t>
            </w:r>
            <w:r>
              <w:rPr>
                <w:rFonts w:ascii="黑体" w:hAnsi="黑体" w:eastAsia="黑体" w:cs="Calibri"/>
                <w:sz w:val="24"/>
                <w:szCs w:val="24"/>
              </w:rPr>
              <w:t>00</w:t>
            </w:r>
          </w:p>
        </w:tc>
        <w:tc>
          <w:tcPr>
            <w:tcW w:w="1011"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cs="Calibri"/>
                <w:sz w:val="24"/>
                <w:szCs w:val="24"/>
              </w:rPr>
            </w:pPr>
            <w:r>
              <w:rPr>
                <w:rFonts w:ascii="黑体" w:hAnsi="黑体" w:eastAsia="黑体" w:cs="Calibri"/>
                <w:sz w:val="24"/>
                <w:szCs w:val="24"/>
              </w:rPr>
              <w:t>34.27</w:t>
            </w:r>
          </w:p>
        </w:tc>
      </w:tr>
      <w:tr>
        <w:tblPrEx>
          <w:tblLayout w:type="fixed"/>
          <w:tblCellMar>
            <w:top w:w="0" w:type="dxa"/>
            <w:left w:w="0" w:type="dxa"/>
            <w:bottom w:w="0" w:type="dxa"/>
            <w:right w:w="0" w:type="dxa"/>
          </w:tblCellMar>
        </w:tblPrEx>
        <w:trPr>
          <w:trHeight w:val="368"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4</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生均教学科研仪器设备值</w:t>
            </w:r>
          </w:p>
        </w:tc>
        <w:tc>
          <w:tcPr>
            <w:tcW w:w="770"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元/生</w:t>
            </w:r>
          </w:p>
        </w:tc>
        <w:tc>
          <w:tcPr>
            <w:tcW w:w="1133"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15102.33</w:t>
            </w:r>
          </w:p>
        </w:tc>
        <w:tc>
          <w:tcPr>
            <w:tcW w:w="1011"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14533.8</w:t>
            </w:r>
          </w:p>
        </w:tc>
      </w:tr>
      <w:tr>
        <w:tblPrEx>
          <w:tblLayout w:type="fixed"/>
          <w:tblCellMar>
            <w:top w:w="0" w:type="dxa"/>
            <w:left w:w="0" w:type="dxa"/>
            <w:bottom w:w="0" w:type="dxa"/>
            <w:right w:w="0" w:type="dxa"/>
          </w:tblCellMar>
        </w:tblPrEx>
        <w:trPr>
          <w:trHeight w:val="453"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5</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生均教学及辅助、行政办公用房面积</w:t>
            </w:r>
          </w:p>
        </w:tc>
        <w:tc>
          <w:tcPr>
            <w:tcW w:w="770"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m</w:t>
            </w:r>
            <w:r>
              <w:rPr>
                <w:rFonts w:ascii="仿宋" w:hAnsi="仿宋" w:eastAsia="仿宋"/>
                <w:sz w:val="24"/>
                <w:szCs w:val="24"/>
                <w:vertAlign w:val="superscript"/>
              </w:rPr>
              <w:t>2</w:t>
            </w:r>
            <w:r>
              <w:rPr>
                <w:rFonts w:ascii="仿宋" w:hAnsi="仿宋" w:eastAsia="仿宋"/>
                <w:sz w:val="24"/>
                <w:szCs w:val="24"/>
              </w:rPr>
              <w:t>/生</w:t>
            </w:r>
          </w:p>
        </w:tc>
        <w:tc>
          <w:tcPr>
            <w:tcW w:w="1133"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18.43</w:t>
            </w:r>
          </w:p>
        </w:tc>
        <w:tc>
          <w:tcPr>
            <w:tcW w:w="1011"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18.68</w:t>
            </w:r>
          </w:p>
        </w:tc>
      </w:tr>
      <w:tr>
        <w:tblPrEx>
          <w:tblLayout w:type="fixed"/>
          <w:tblCellMar>
            <w:top w:w="0" w:type="dxa"/>
            <w:left w:w="0" w:type="dxa"/>
            <w:bottom w:w="0" w:type="dxa"/>
            <w:right w:w="0" w:type="dxa"/>
          </w:tblCellMar>
        </w:tblPrEx>
        <w:trPr>
          <w:trHeight w:val="368"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6</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生均校内实践教学工位数</w:t>
            </w:r>
          </w:p>
        </w:tc>
        <w:tc>
          <w:tcPr>
            <w:tcW w:w="770"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个/生</w:t>
            </w:r>
          </w:p>
        </w:tc>
        <w:tc>
          <w:tcPr>
            <w:tcW w:w="1133"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0.48</w:t>
            </w:r>
          </w:p>
        </w:tc>
        <w:tc>
          <w:tcPr>
            <w:tcW w:w="1011"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0.64</w:t>
            </w:r>
          </w:p>
        </w:tc>
      </w:tr>
      <w:tr>
        <w:tblPrEx>
          <w:tblLayout w:type="fixed"/>
          <w:tblCellMar>
            <w:top w:w="0" w:type="dxa"/>
            <w:left w:w="0" w:type="dxa"/>
            <w:bottom w:w="0" w:type="dxa"/>
            <w:right w:w="0" w:type="dxa"/>
          </w:tblCellMar>
        </w:tblPrEx>
        <w:trPr>
          <w:trHeight w:val="368"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7</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rPr>
                <w:rFonts w:ascii="仿宋" w:hAnsi="仿宋" w:eastAsia="仿宋"/>
                <w:sz w:val="24"/>
                <w:szCs w:val="24"/>
              </w:rPr>
            </w:pPr>
            <w:r>
              <w:rPr>
                <w:rFonts w:hint="eastAsia" w:ascii="仿宋" w:hAnsi="仿宋" w:eastAsia="仿宋"/>
                <w:sz w:val="24"/>
                <w:szCs w:val="24"/>
              </w:rPr>
              <w:t>地市级以上科技平台数</w:t>
            </w:r>
          </w:p>
        </w:tc>
        <w:tc>
          <w:tcPr>
            <w:tcW w:w="770"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仿宋" w:hAnsi="仿宋" w:eastAsia="仿宋"/>
                <w:sz w:val="24"/>
                <w:szCs w:val="24"/>
              </w:rPr>
            </w:pPr>
            <w:r>
              <w:rPr>
                <w:rFonts w:hint="eastAsia" w:ascii="仿宋" w:hAnsi="仿宋" w:eastAsia="仿宋"/>
                <w:sz w:val="24"/>
                <w:szCs w:val="24"/>
              </w:rPr>
              <w:t>个</w:t>
            </w:r>
          </w:p>
        </w:tc>
        <w:tc>
          <w:tcPr>
            <w:tcW w:w="1133"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sz w:val="24"/>
                <w:szCs w:val="24"/>
              </w:rPr>
              <w:t>1</w:t>
            </w:r>
          </w:p>
        </w:tc>
        <w:tc>
          <w:tcPr>
            <w:tcW w:w="1011" w:type="dxa"/>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sz w:val="24"/>
                <w:szCs w:val="24"/>
              </w:rPr>
              <w:t>1</w:t>
            </w:r>
          </w:p>
        </w:tc>
      </w:tr>
      <w:tr>
        <w:tblPrEx>
          <w:tblLayout w:type="fixed"/>
          <w:tblCellMar>
            <w:top w:w="0" w:type="dxa"/>
            <w:left w:w="0" w:type="dxa"/>
            <w:bottom w:w="0" w:type="dxa"/>
            <w:right w:w="0" w:type="dxa"/>
          </w:tblCellMar>
        </w:tblPrEx>
        <w:trPr>
          <w:trHeight w:val="392"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vMerge w:val="restart"/>
            <w:tcBorders>
              <w:top w:val="single" w:color="FFFFFF" w:sz="8" w:space="0"/>
              <w:left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8</w:t>
            </w:r>
          </w:p>
        </w:tc>
        <w:tc>
          <w:tcPr>
            <w:tcW w:w="3167"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教学计划内课程总数</w:t>
            </w:r>
          </w:p>
        </w:tc>
        <w:tc>
          <w:tcPr>
            <w:tcW w:w="770"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仿宋" w:hAnsi="仿宋" w:eastAsia="仿宋"/>
                <w:sz w:val="24"/>
                <w:szCs w:val="24"/>
              </w:rPr>
            </w:pPr>
            <w:r>
              <w:rPr>
                <w:rFonts w:ascii="仿宋" w:hAnsi="仿宋" w:eastAsia="仿宋"/>
                <w:sz w:val="24"/>
                <w:szCs w:val="24"/>
              </w:rPr>
              <w:t>门</w:t>
            </w:r>
          </w:p>
        </w:tc>
        <w:tc>
          <w:tcPr>
            <w:tcW w:w="1133"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bottom"/>
          </w:tcPr>
          <w:p>
            <w:pPr>
              <w:jc w:val="center"/>
              <w:rPr>
                <w:rFonts w:ascii="黑体" w:hAnsi="黑体" w:eastAsia="黑体"/>
                <w:sz w:val="24"/>
                <w:szCs w:val="24"/>
              </w:rPr>
            </w:pPr>
            <w:r>
              <w:rPr>
                <w:rFonts w:ascii="黑体" w:hAnsi="黑体" w:eastAsia="黑体" w:cs="Calibri"/>
                <w:sz w:val="24"/>
                <w:szCs w:val="24"/>
              </w:rPr>
              <w:t>393</w:t>
            </w:r>
          </w:p>
        </w:tc>
        <w:tc>
          <w:tcPr>
            <w:tcW w:w="1011"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jc w:val="center"/>
              <w:rPr>
                <w:rFonts w:ascii="黑体" w:hAnsi="黑体" w:eastAsia="黑体"/>
                <w:sz w:val="24"/>
                <w:szCs w:val="24"/>
              </w:rPr>
            </w:pPr>
            <w:r>
              <w:rPr>
                <w:rFonts w:ascii="黑体" w:hAnsi="黑体" w:eastAsia="黑体" w:cs="Calibri"/>
                <w:sz w:val="24"/>
                <w:szCs w:val="24"/>
              </w:rPr>
              <w:t>805</w:t>
            </w:r>
          </w:p>
        </w:tc>
      </w:tr>
      <w:tr>
        <w:tblPrEx>
          <w:tblLayout w:type="fixed"/>
          <w:tblCellMar>
            <w:top w:w="0" w:type="dxa"/>
            <w:left w:w="0" w:type="dxa"/>
            <w:bottom w:w="0" w:type="dxa"/>
            <w:right w:w="0" w:type="dxa"/>
          </w:tblCellMar>
        </w:tblPrEx>
        <w:trPr>
          <w:trHeight w:val="783"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vMerge w:val="continue"/>
            <w:tcBorders>
              <w:left w:val="single" w:color="FFFFFF" w:sz="8" w:space="0"/>
              <w:right w:val="single" w:color="FFFFFF" w:sz="8" w:space="0"/>
            </w:tcBorders>
            <w:vAlign w:val="center"/>
          </w:tcPr>
          <w:p>
            <w:pPr>
              <w:rPr>
                <w:rFonts w:ascii="仿宋" w:hAnsi="仿宋" w:eastAsia="仿宋"/>
                <w:sz w:val="24"/>
                <w:szCs w:val="24"/>
              </w:rPr>
            </w:pPr>
          </w:p>
        </w:tc>
        <w:tc>
          <w:tcPr>
            <w:tcW w:w="851" w:type="dxa"/>
            <w:vMerge w:val="restart"/>
            <w:tcBorders>
              <w:top w:val="single" w:color="FFFFFF" w:sz="8" w:space="0"/>
              <w:left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其中：</w:t>
            </w:r>
          </w:p>
        </w:tc>
        <w:tc>
          <w:tcPr>
            <w:tcW w:w="2316"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线上开设课程数</w:t>
            </w:r>
          </w:p>
        </w:tc>
        <w:tc>
          <w:tcPr>
            <w:tcW w:w="770" w:type="dxa"/>
            <w:tcBorders>
              <w:top w:val="single" w:color="FFFFFF" w:sz="8" w:space="0"/>
              <w:left w:val="single" w:color="FFFFFF" w:sz="8" w:space="0"/>
              <w:bottom w:val="single" w:color="FFFFFF" w:sz="8" w:space="0"/>
              <w:right w:val="single" w:color="FFFFFF" w:sz="8" w:space="0"/>
            </w:tcBorders>
            <w:shd w:val="clear" w:color="auto" w:fill="EAEFF7"/>
            <w:vAlign w:val="center"/>
          </w:tcPr>
          <w:p>
            <w:pPr>
              <w:jc w:val="center"/>
              <w:rPr>
                <w:rFonts w:ascii="仿宋" w:hAnsi="仿宋" w:eastAsia="仿宋"/>
                <w:sz w:val="24"/>
                <w:szCs w:val="24"/>
              </w:rPr>
            </w:pPr>
            <w:r>
              <w:rPr>
                <w:rFonts w:ascii="仿宋" w:hAnsi="仿宋" w:eastAsia="仿宋"/>
                <w:sz w:val="24"/>
                <w:szCs w:val="24"/>
              </w:rPr>
              <w:t>门</w:t>
            </w:r>
          </w:p>
        </w:tc>
        <w:tc>
          <w:tcPr>
            <w:tcW w:w="1133" w:type="dxa"/>
            <w:tcBorders>
              <w:top w:val="single" w:color="FFFFFF" w:sz="8" w:space="0"/>
              <w:left w:val="single" w:color="FFFFFF" w:sz="8" w:space="0"/>
              <w:bottom w:val="single" w:color="FFFFFF" w:sz="8" w:space="0"/>
              <w:right w:val="single" w:color="FFFFFF" w:sz="8" w:space="0"/>
            </w:tcBorders>
            <w:shd w:val="clear" w:color="auto" w:fill="EAEFF7"/>
            <w:vAlign w:val="center"/>
          </w:tcPr>
          <w:p>
            <w:pPr>
              <w:jc w:val="center"/>
              <w:rPr>
                <w:rFonts w:ascii="黑体" w:hAnsi="黑体" w:eastAsia="黑体"/>
                <w:sz w:val="24"/>
                <w:szCs w:val="24"/>
              </w:rPr>
            </w:pPr>
            <w:r>
              <w:rPr>
                <w:rFonts w:ascii="黑体" w:hAnsi="黑体" w:eastAsia="黑体" w:cs="Calibri"/>
                <w:sz w:val="24"/>
                <w:szCs w:val="24"/>
              </w:rPr>
              <w:t>0</w:t>
            </w:r>
          </w:p>
        </w:tc>
        <w:tc>
          <w:tcPr>
            <w:tcW w:w="1011" w:type="dxa"/>
            <w:tcBorders>
              <w:top w:val="single" w:color="FFFFFF" w:sz="8" w:space="0"/>
              <w:left w:val="single" w:color="FFFFFF" w:sz="8" w:space="0"/>
              <w:bottom w:val="single" w:color="FFFFFF" w:sz="8" w:space="0"/>
              <w:right w:val="single" w:color="FFFFFF" w:sz="8" w:space="0"/>
            </w:tcBorders>
            <w:shd w:val="clear" w:color="auto" w:fill="EAEFF7"/>
            <w:vAlign w:val="center"/>
          </w:tcPr>
          <w:p>
            <w:pPr>
              <w:jc w:val="center"/>
              <w:rPr>
                <w:rFonts w:ascii="黑体" w:hAnsi="黑体" w:eastAsia="黑体"/>
                <w:sz w:val="24"/>
                <w:szCs w:val="24"/>
              </w:rPr>
            </w:pPr>
            <w:r>
              <w:rPr>
                <w:rFonts w:ascii="黑体" w:hAnsi="黑体" w:eastAsia="黑体" w:cs="Calibri"/>
                <w:sz w:val="24"/>
                <w:szCs w:val="24"/>
              </w:rPr>
              <w:t>2</w:t>
            </w:r>
          </w:p>
        </w:tc>
      </w:tr>
      <w:tr>
        <w:tblPrEx>
          <w:tblLayout w:type="fixed"/>
          <w:tblCellMar>
            <w:top w:w="0" w:type="dxa"/>
            <w:left w:w="0" w:type="dxa"/>
            <w:bottom w:w="0" w:type="dxa"/>
            <w:right w:w="0" w:type="dxa"/>
          </w:tblCellMar>
        </w:tblPrEx>
        <w:trPr>
          <w:trHeight w:val="782" w:hRule="atLeast"/>
        </w:trPr>
        <w:tc>
          <w:tcPr>
            <w:tcW w:w="8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67" w:type="dxa"/>
            <w:vMerge w:val="continue"/>
            <w:tcBorders>
              <w:left w:val="single" w:color="FFFFFF" w:sz="8" w:space="0"/>
              <w:bottom w:val="single" w:color="FFFFFF" w:sz="8" w:space="0"/>
              <w:right w:val="single" w:color="FFFFFF" w:sz="8" w:space="0"/>
            </w:tcBorders>
            <w:vAlign w:val="center"/>
          </w:tcPr>
          <w:p>
            <w:pPr>
              <w:rPr>
                <w:rFonts w:ascii="仿宋" w:hAnsi="仿宋" w:eastAsia="仿宋"/>
                <w:sz w:val="24"/>
                <w:szCs w:val="24"/>
              </w:rPr>
            </w:pPr>
          </w:p>
        </w:tc>
        <w:tc>
          <w:tcPr>
            <w:tcW w:w="851" w:type="dxa"/>
            <w:vMerge w:val="continue"/>
            <w:tcBorders>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p>
        </w:tc>
        <w:tc>
          <w:tcPr>
            <w:tcW w:w="2316" w:type="dxa"/>
            <w:tcBorders>
              <w:top w:val="single" w:color="FFFFFF" w:sz="8" w:space="0"/>
              <w:left w:val="single" w:color="FFFFFF" w:sz="8" w:space="0"/>
              <w:bottom w:val="single" w:color="FFFFFF" w:sz="8" w:space="0"/>
              <w:right w:val="single" w:color="FFFFFF" w:sz="8" w:space="0"/>
            </w:tcBorders>
            <w:shd w:val="clear" w:color="auto" w:fill="EAEFF7"/>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线上课程课均学生数</w:t>
            </w:r>
          </w:p>
        </w:tc>
        <w:tc>
          <w:tcPr>
            <w:tcW w:w="770" w:type="dxa"/>
            <w:tcBorders>
              <w:top w:val="single" w:color="FFFFFF" w:sz="8" w:space="0"/>
              <w:left w:val="single" w:color="FFFFFF" w:sz="8" w:space="0"/>
              <w:bottom w:val="single" w:color="FFFFFF" w:sz="8" w:space="0"/>
              <w:right w:val="single" w:color="FFFFFF" w:sz="8" w:space="0"/>
            </w:tcBorders>
            <w:shd w:val="clear" w:color="auto" w:fill="EAEFF7"/>
            <w:vAlign w:val="center"/>
          </w:tcPr>
          <w:p>
            <w:pPr>
              <w:jc w:val="center"/>
              <w:rPr>
                <w:rFonts w:ascii="仿宋" w:hAnsi="仿宋" w:eastAsia="仿宋"/>
                <w:sz w:val="24"/>
                <w:szCs w:val="24"/>
              </w:rPr>
            </w:pPr>
            <w:r>
              <w:rPr>
                <w:rFonts w:ascii="仿宋" w:hAnsi="仿宋" w:eastAsia="仿宋"/>
                <w:sz w:val="24"/>
                <w:szCs w:val="24"/>
              </w:rPr>
              <w:t>人</w:t>
            </w:r>
          </w:p>
        </w:tc>
        <w:tc>
          <w:tcPr>
            <w:tcW w:w="1133" w:type="dxa"/>
            <w:tcBorders>
              <w:top w:val="single" w:color="FFFFFF" w:sz="8" w:space="0"/>
              <w:left w:val="single" w:color="FFFFFF" w:sz="8" w:space="0"/>
              <w:bottom w:val="single" w:color="FFFFFF" w:sz="8" w:space="0"/>
              <w:right w:val="single" w:color="FFFFFF" w:sz="8" w:space="0"/>
            </w:tcBorders>
            <w:shd w:val="clear" w:color="auto" w:fill="EAEFF7"/>
            <w:vAlign w:val="center"/>
          </w:tcPr>
          <w:p>
            <w:pPr>
              <w:jc w:val="center"/>
              <w:rPr>
                <w:rFonts w:ascii="黑体" w:hAnsi="黑体" w:eastAsia="黑体"/>
                <w:sz w:val="24"/>
                <w:szCs w:val="24"/>
              </w:rPr>
            </w:pPr>
            <w:r>
              <w:rPr>
                <w:rFonts w:hint="eastAsia" w:ascii="黑体" w:hAnsi="黑体" w:eastAsia="黑体"/>
                <w:sz w:val="24"/>
                <w:szCs w:val="24"/>
              </w:rPr>
              <w:t>0</w:t>
            </w:r>
          </w:p>
        </w:tc>
        <w:tc>
          <w:tcPr>
            <w:tcW w:w="1011" w:type="dxa"/>
            <w:tcBorders>
              <w:top w:val="single" w:color="FFFFFF" w:sz="8" w:space="0"/>
              <w:left w:val="single" w:color="FFFFFF" w:sz="8" w:space="0"/>
              <w:bottom w:val="single" w:color="FFFFFF" w:sz="8" w:space="0"/>
              <w:right w:val="single" w:color="FFFFFF" w:sz="8" w:space="0"/>
            </w:tcBorders>
            <w:shd w:val="clear" w:color="auto" w:fill="EAEFF7"/>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200</w:t>
            </w:r>
          </w:p>
        </w:tc>
      </w:tr>
      <w:tr>
        <w:tblPrEx>
          <w:tblLayout w:type="fixed"/>
          <w:tblCellMar>
            <w:top w:w="0" w:type="dxa"/>
            <w:left w:w="0" w:type="dxa"/>
            <w:bottom w:w="0" w:type="dxa"/>
            <w:right w:w="0" w:type="dxa"/>
          </w:tblCellMar>
        </w:tblPrEx>
        <w:trPr>
          <w:trHeight w:val="1360" w:hRule="atLeast"/>
        </w:trPr>
        <w:tc>
          <w:tcPr>
            <w:tcW w:w="841" w:type="dxa"/>
            <w:vMerge w:val="continue"/>
            <w:tcBorders>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850" w:type="dxa"/>
            <w:vMerge w:val="continue"/>
            <w:tcBorders>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6648" w:type="dxa"/>
            <w:gridSpan w:val="6"/>
            <w:tcBorders>
              <w:top w:val="single" w:color="FFFFFF" w:sz="8" w:space="0"/>
              <w:left w:val="single" w:color="FFFFFF" w:sz="8" w:space="0"/>
              <w:bottom w:val="single" w:color="FFFFFF" w:sz="8" w:space="0"/>
              <w:right w:val="single" w:color="FFFFFF" w:sz="8" w:space="0"/>
            </w:tcBorders>
            <w:shd w:val="clear" w:color="auto" w:fill="DDDEEF"/>
            <w:tcMar>
              <w:top w:w="15" w:type="dxa"/>
              <w:left w:w="83" w:type="dxa"/>
              <w:bottom w:w="0" w:type="dxa"/>
              <w:right w:w="83" w:type="dxa"/>
            </w:tcMar>
            <w:vAlign w:val="center"/>
          </w:tcPr>
          <w:p>
            <w:pPr>
              <w:rPr>
                <w:rFonts w:ascii="仿宋" w:hAnsi="仿宋" w:eastAsia="仿宋"/>
                <w:sz w:val="24"/>
                <w:szCs w:val="24"/>
              </w:rPr>
            </w:pPr>
            <w:r>
              <w:rPr>
                <w:rFonts w:ascii="仿宋" w:hAnsi="仿宋" w:eastAsia="仿宋"/>
                <w:sz w:val="24"/>
                <w:szCs w:val="24"/>
              </w:rPr>
              <w:t>学校类别（单选）：综合、师范、民族院校（√）</w:t>
            </w:r>
          </w:p>
          <w:p>
            <w:pPr>
              <w:rPr>
                <w:rFonts w:ascii="仿宋" w:hAnsi="仿宋" w:eastAsia="仿宋"/>
                <w:sz w:val="24"/>
                <w:szCs w:val="24"/>
              </w:rPr>
            </w:pPr>
            <w:r>
              <w:rPr>
                <w:rFonts w:ascii="仿宋" w:hAnsi="仿宋" w:eastAsia="仿宋"/>
                <w:sz w:val="24"/>
                <w:szCs w:val="24"/>
              </w:rPr>
              <w:t>工科、农、林院校（）</w:t>
            </w:r>
          </w:p>
          <w:p>
            <w:pPr>
              <w:rPr>
                <w:rFonts w:ascii="仿宋" w:hAnsi="仿宋" w:eastAsia="仿宋"/>
                <w:sz w:val="24"/>
                <w:szCs w:val="24"/>
              </w:rPr>
            </w:pPr>
            <w:r>
              <w:rPr>
                <w:rFonts w:ascii="仿宋" w:hAnsi="仿宋" w:eastAsia="仿宋"/>
                <w:sz w:val="24"/>
                <w:szCs w:val="24"/>
              </w:rPr>
              <w:t>医学院校（）</w:t>
            </w:r>
          </w:p>
          <w:p>
            <w:pPr>
              <w:rPr>
                <w:rFonts w:ascii="仿宋" w:hAnsi="仿宋" w:eastAsia="仿宋"/>
                <w:sz w:val="24"/>
                <w:szCs w:val="24"/>
              </w:rPr>
            </w:pPr>
            <w:r>
              <w:rPr>
                <w:rFonts w:ascii="仿宋" w:hAnsi="仿宋" w:eastAsia="仿宋"/>
                <w:sz w:val="24"/>
                <w:szCs w:val="24"/>
              </w:rPr>
              <w:t>语文、财经、政法院校（ ）</w:t>
            </w:r>
          </w:p>
          <w:p>
            <w:pPr>
              <w:rPr>
                <w:rFonts w:ascii="仿宋" w:hAnsi="仿宋" w:eastAsia="仿宋"/>
                <w:sz w:val="24"/>
                <w:szCs w:val="24"/>
              </w:rPr>
            </w:pPr>
            <w:r>
              <w:rPr>
                <w:rFonts w:ascii="仿宋" w:hAnsi="仿宋" w:eastAsia="仿宋"/>
                <w:sz w:val="24"/>
                <w:szCs w:val="24"/>
              </w:rPr>
              <w:t>体育院校（）</w:t>
            </w:r>
          </w:p>
          <w:p>
            <w:pPr>
              <w:rPr>
                <w:rFonts w:ascii="仿宋" w:hAnsi="仿宋" w:eastAsia="仿宋"/>
                <w:sz w:val="24"/>
                <w:szCs w:val="24"/>
              </w:rPr>
            </w:pPr>
            <w:r>
              <w:rPr>
                <w:rFonts w:ascii="仿宋" w:hAnsi="仿宋" w:eastAsia="仿宋"/>
                <w:sz w:val="24"/>
                <w:szCs w:val="24"/>
              </w:rPr>
              <w:t>艺术院校（）</w:t>
            </w:r>
          </w:p>
        </w:tc>
      </w:tr>
    </w:tbl>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spacing w:after="156" w:afterLines="50"/>
        <w:rPr>
          <w:rFonts w:ascii="黑体" w:hAnsi="黑体" w:eastAsia="黑体"/>
          <w:sz w:val="24"/>
          <w:szCs w:val="24"/>
          <w:u w:color="C00000"/>
        </w:rPr>
      </w:pPr>
      <w:r>
        <w:rPr>
          <w:rFonts w:ascii="黑体" w:hAnsi="黑体" w:eastAsia="黑体"/>
          <w:b/>
          <w:sz w:val="24"/>
          <w:szCs w:val="24"/>
        </w:rPr>
        <mc:AlternateContent>
          <mc:Choice Requires="wps">
            <w:drawing>
              <wp:anchor distT="0" distB="0" distL="114300" distR="114300" simplePos="0" relativeHeight="251666432" behindDoc="0" locked="0" layoutInCell="1" allowOverlap="1">
                <wp:simplePos x="0" y="0"/>
                <wp:positionH relativeFrom="column">
                  <wp:posOffset>387350</wp:posOffset>
                </wp:positionH>
                <wp:positionV relativeFrom="paragraph">
                  <wp:posOffset>184150</wp:posOffset>
                </wp:positionV>
                <wp:extent cx="2139950" cy="0"/>
                <wp:effectExtent l="0" t="0" r="31750" b="19050"/>
                <wp:wrapNone/>
                <wp:docPr id="18" name="直接连接符 18"/>
                <wp:cNvGraphicFramePr/>
                <a:graphic xmlns:a="http://schemas.openxmlformats.org/drawingml/2006/main">
                  <a:graphicData uri="http://schemas.microsoft.com/office/word/2010/wordprocessingShape">
                    <wps:wsp>
                      <wps:cNvCnPr/>
                      <wps:spPr>
                        <a:xfrm>
                          <a:off x="0" y="0"/>
                          <a:ext cx="213995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pt;margin-top:14.5pt;height:0pt;width:168.5pt;z-index:251666432;mso-width-relative:page;mso-height-relative:page;" filled="f" stroked="t" coordsize="21600,21600" o:gfxdata="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8goK1QAAAAgBAAAPAAAAAAAAAAEAIAAAACIAAABkcnMvZG93&#10;bnJldi54bWxQSwECFAAUAAAACACHTuJAVmPBXsoBAABmAwAADgAAAAAAAAABACAAAAAkAQAAZHJz&#10;L2Uyb0RvYy54bWxQSwUGAAAAAAYABgBZAQAAYAUAAAAA&#10;">
                <v:fill on="f" focussize="0,0"/>
                <v:stroke weight="1pt" color="#C00000 [3204]" miterlimit="8" joinstyle="miter"/>
                <v:imagedata o:title=""/>
                <o:lock v:ext="edit" aspectratio="f"/>
              </v:line>
            </w:pict>
          </mc:Fallback>
        </mc:AlternateContent>
      </w:r>
      <w:r>
        <w:rPr>
          <w:rFonts w:ascii="黑体" w:hAnsi="黑体" w:eastAsia="黑体"/>
          <w:b/>
          <w:sz w:val="24"/>
          <w:szCs w:val="24"/>
          <w:shd w:val="clear" w:color="auto" w:fill="C00000"/>
        </w:rPr>
        <w:t xml:space="preserve"> 表4 </w:t>
      </w:r>
      <w:r>
        <w:rPr>
          <w:rFonts w:ascii="仿宋" w:hAnsi="仿宋" w:eastAsia="仿宋"/>
          <w:color w:val="2E75B6" w:themeColor="accent1" w:themeShade="BF"/>
          <w:sz w:val="32"/>
          <w:szCs w:val="32"/>
          <w:u w:color="C00000"/>
        </w:rPr>
        <w:t xml:space="preserve"> </w:t>
      </w:r>
      <w:r>
        <w:rPr>
          <w:rFonts w:ascii="黑体" w:hAnsi="黑体" w:eastAsia="黑体"/>
          <w:sz w:val="24"/>
          <w:szCs w:val="24"/>
          <w:u w:color="C00000"/>
        </w:rPr>
        <w:t>通辽职业学院</w:t>
      </w:r>
      <w:r>
        <w:rPr>
          <w:rFonts w:hint="eastAsia" w:ascii="黑体" w:hAnsi="黑体" w:eastAsia="黑体"/>
          <w:sz w:val="24"/>
          <w:szCs w:val="24"/>
          <w:u w:color="C00000"/>
        </w:rPr>
        <w:t>“国际影响表”</w:t>
      </w:r>
    </w:p>
    <w:tbl>
      <w:tblPr>
        <w:tblStyle w:val="11"/>
        <w:tblW w:w="8108" w:type="dxa"/>
        <w:tblInd w:w="0" w:type="dxa"/>
        <w:tblLayout w:type="fixed"/>
        <w:tblCellMar>
          <w:top w:w="0" w:type="dxa"/>
          <w:left w:w="0" w:type="dxa"/>
          <w:bottom w:w="0" w:type="dxa"/>
          <w:right w:w="0" w:type="dxa"/>
        </w:tblCellMar>
      </w:tblPr>
      <w:tblGrid>
        <w:gridCol w:w="1124"/>
        <w:gridCol w:w="783"/>
        <w:gridCol w:w="493"/>
        <w:gridCol w:w="2312"/>
        <w:gridCol w:w="665"/>
        <w:gridCol w:w="992"/>
        <w:gridCol w:w="992"/>
        <w:gridCol w:w="747"/>
      </w:tblGrid>
      <w:tr>
        <w:tblPrEx>
          <w:tblLayout w:type="fixed"/>
          <w:tblCellMar>
            <w:top w:w="0" w:type="dxa"/>
            <w:left w:w="0" w:type="dxa"/>
            <w:bottom w:w="0" w:type="dxa"/>
            <w:right w:w="0" w:type="dxa"/>
          </w:tblCellMar>
        </w:tblPrEx>
        <w:trPr>
          <w:trHeight w:val="827" w:hRule="atLeast"/>
        </w:trPr>
        <w:tc>
          <w:tcPr>
            <w:tcW w:w="1124" w:type="dxa"/>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院校代码</w:t>
            </w:r>
          </w:p>
        </w:tc>
        <w:tc>
          <w:tcPr>
            <w:tcW w:w="783" w:type="dxa"/>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bCs/>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院校</w:t>
            </w:r>
          </w:p>
          <w:p>
            <w:pP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名称</w:t>
            </w:r>
          </w:p>
        </w:tc>
        <w:tc>
          <w:tcPr>
            <w:tcW w:w="2805" w:type="dxa"/>
            <w:gridSpan w:val="2"/>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指标</w:t>
            </w:r>
          </w:p>
        </w:tc>
        <w:tc>
          <w:tcPr>
            <w:tcW w:w="665" w:type="dxa"/>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单位</w:t>
            </w:r>
          </w:p>
        </w:tc>
        <w:tc>
          <w:tcPr>
            <w:tcW w:w="992" w:type="dxa"/>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2018年</w:t>
            </w:r>
          </w:p>
        </w:tc>
        <w:tc>
          <w:tcPr>
            <w:tcW w:w="992" w:type="dxa"/>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2019年</w:t>
            </w:r>
          </w:p>
        </w:tc>
        <w:tc>
          <w:tcPr>
            <w:tcW w:w="747" w:type="dxa"/>
            <w:tcBorders>
              <w:top w:val="single" w:color="FFFFFF" w:sz="8" w:space="0"/>
              <w:left w:val="single" w:color="FFFFFF" w:sz="8" w:space="0"/>
              <w:bottom w:val="single" w:color="FFFFFF" w:sz="24"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bCs/>
                <w:color w:val="FFFFFF" w:themeColor="background1"/>
                <w:sz w:val="24"/>
                <w:szCs w:val="24"/>
                <w14:textFill>
                  <w14:solidFill>
                    <w14:schemeClr w14:val="bg1"/>
                  </w14:solidFill>
                </w14:textFill>
              </w:rPr>
              <w:t>备注</w:t>
            </w:r>
          </w:p>
        </w:tc>
      </w:tr>
      <w:tr>
        <w:tblPrEx>
          <w:tblLayout w:type="fixed"/>
          <w:tblCellMar>
            <w:top w:w="0" w:type="dxa"/>
            <w:left w:w="0" w:type="dxa"/>
            <w:bottom w:w="0" w:type="dxa"/>
            <w:right w:w="0" w:type="dxa"/>
          </w:tblCellMar>
        </w:tblPrEx>
        <w:trPr>
          <w:trHeight w:val="459" w:hRule="atLeast"/>
        </w:trPr>
        <w:tc>
          <w:tcPr>
            <w:tcW w:w="1124" w:type="dxa"/>
            <w:vMerge w:val="restart"/>
            <w:tcBorders>
              <w:top w:val="single" w:color="FFFFFF" w:sz="24" w:space="0"/>
              <w:left w:val="single" w:color="FFFFFF" w:sz="8" w:space="0"/>
              <w:bottom w:val="single" w:color="FFFFFF" w:sz="8"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olor w:val="FFFFFF" w:themeColor="background1"/>
                <w:sz w:val="24"/>
                <w:szCs w:val="24"/>
                <w14:textFill>
                  <w14:solidFill>
                    <w14:schemeClr w14:val="bg1"/>
                  </w14:solidFill>
                </w14:textFill>
              </w:rPr>
            </w:pPr>
            <w:r>
              <w:rPr>
                <w:rFonts w:ascii="Calibri" w:hAnsi="Calibri" w:eastAsia="黑体" w:cs="Calibri"/>
                <w:bCs/>
                <w:color w:val="FFFFFF" w:themeColor="background1"/>
                <w:sz w:val="24"/>
                <w:szCs w:val="24"/>
                <w14:textFill>
                  <w14:solidFill>
                    <w14:schemeClr w14:val="bg1"/>
                  </w14:solidFill>
                </w14:textFill>
              </w:rPr>
              <w:t> </w:t>
            </w:r>
            <w:r>
              <w:rPr>
                <w:rFonts w:ascii="黑体" w:hAnsi="黑体" w:eastAsia="黑体" w:cs="Calibri"/>
                <w:bCs/>
                <w:color w:val="FFFFFF" w:themeColor="background1"/>
                <w:sz w:val="24"/>
                <w:szCs w:val="24"/>
                <w14:textFill>
                  <w14:solidFill>
                    <w14:schemeClr w14:val="bg1"/>
                  </w14:solidFill>
                </w14:textFill>
              </w:rPr>
              <w:t>13740</w:t>
            </w:r>
          </w:p>
        </w:tc>
        <w:tc>
          <w:tcPr>
            <w:tcW w:w="783" w:type="dxa"/>
            <w:vMerge w:val="restart"/>
            <w:tcBorders>
              <w:top w:val="single" w:color="FFFFFF" w:sz="24" w:space="0"/>
              <w:left w:val="single" w:color="FFFFFF" w:sz="8" w:space="0"/>
              <w:bottom w:val="single" w:color="FFFFFF" w:sz="8" w:space="0"/>
              <w:right w:val="single" w:color="FFFFFF" w:sz="8" w:space="0"/>
            </w:tcBorders>
            <w:shd w:val="clear" w:color="auto" w:fill="5B9BD5"/>
            <w:tcMar>
              <w:top w:w="15" w:type="dxa"/>
              <w:left w:w="62" w:type="dxa"/>
              <w:bottom w:w="0" w:type="dxa"/>
              <w:right w:w="62" w:type="dxa"/>
            </w:tcMar>
            <w:vAlign w:val="center"/>
          </w:tcPr>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通辽</w:t>
            </w:r>
          </w:p>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职业</w:t>
            </w:r>
          </w:p>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学院</w:t>
            </w:r>
          </w:p>
        </w:tc>
        <w:tc>
          <w:tcPr>
            <w:tcW w:w="493" w:type="dxa"/>
            <w:tcBorders>
              <w:top w:val="single" w:color="FFFFFF" w:sz="24"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1</w:t>
            </w:r>
          </w:p>
        </w:tc>
        <w:tc>
          <w:tcPr>
            <w:tcW w:w="2312" w:type="dxa"/>
            <w:tcBorders>
              <w:top w:val="single" w:color="FFFFFF" w:sz="24"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国（境）外人员培训量</w:t>
            </w:r>
          </w:p>
        </w:tc>
        <w:tc>
          <w:tcPr>
            <w:tcW w:w="665" w:type="dxa"/>
            <w:tcBorders>
              <w:top w:val="single" w:color="FFFFFF" w:sz="24"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人日</w:t>
            </w:r>
          </w:p>
        </w:tc>
        <w:tc>
          <w:tcPr>
            <w:tcW w:w="992" w:type="dxa"/>
            <w:tcBorders>
              <w:top w:val="single" w:color="FFFFFF" w:sz="24"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24"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tcBorders>
              <w:top w:val="single" w:color="FFFFFF" w:sz="24"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827"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2</w:t>
            </w:r>
          </w:p>
        </w:tc>
        <w:tc>
          <w:tcPr>
            <w:tcW w:w="231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在校生服务“走出去”企业国（境）外实习时间</w:t>
            </w:r>
          </w:p>
        </w:tc>
        <w:tc>
          <w:tcPr>
            <w:tcW w:w="665"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人日</w:t>
            </w:r>
          </w:p>
        </w:tc>
        <w:tc>
          <w:tcPr>
            <w:tcW w:w="99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827"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3</w:t>
            </w:r>
          </w:p>
        </w:tc>
        <w:tc>
          <w:tcPr>
            <w:tcW w:w="231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专任教师赴国（境）外指导和开展培训时间</w:t>
            </w:r>
          </w:p>
        </w:tc>
        <w:tc>
          <w:tcPr>
            <w:tcW w:w="665"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人日</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919"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4</w:t>
            </w:r>
          </w:p>
        </w:tc>
        <w:tc>
          <w:tcPr>
            <w:tcW w:w="231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在国（境）外专业性组织担任职务的专任教师人数</w:t>
            </w:r>
          </w:p>
        </w:tc>
        <w:tc>
          <w:tcPr>
            <w:tcW w:w="665"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人</w:t>
            </w:r>
          </w:p>
        </w:tc>
        <w:tc>
          <w:tcPr>
            <w:tcW w:w="99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919"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5</w:t>
            </w:r>
          </w:p>
        </w:tc>
        <w:tc>
          <w:tcPr>
            <w:tcW w:w="231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开发并被国（境）外采用的专业教学标准数</w:t>
            </w:r>
          </w:p>
        </w:tc>
        <w:tc>
          <w:tcPr>
            <w:tcW w:w="665"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个</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888"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231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开发并被国（境）外采用的课程标准数</w:t>
            </w:r>
          </w:p>
        </w:tc>
        <w:tc>
          <w:tcPr>
            <w:tcW w:w="665"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个</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689"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6</w:t>
            </w:r>
          </w:p>
        </w:tc>
        <w:tc>
          <w:tcPr>
            <w:tcW w:w="231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国（境）外技能大赛获奖数量</w:t>
            </w:r>
          </w:p>
        </w:tc>
        <w:tc>
          <w:tcPr>
            <w:tcW w:w="665"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项</w:t>
            </w:r>
          </w:p>
        </w:tc>
        <w:tc>
          <w:tcPr>
            <w:tcW w:w="99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vAlign w:val="center"/>
          </w:tcPr>
          <w:p>
            <w:pPr>
              <w:jc w:val="center"/>
              <w:rPr>
                <w:rFonts w:ascii="黑体" w:hAnsi="黑体" w:eastAsia="黑体"/>
                <w:sz w:val="24"/>
                <w:szCs w:val="24"/>
              </w:rPr>
            </w:pPr>
            <w:r>
              <w:rPr>
                <w:rFonts w:ascii="黑体" w:hAnsi="黑体" w:eastAsia="黑体"/>
                <w:sz w:val="24"/>
                <w:szCs w:val="24"/>
              </w:rPr>
              <w:t>0</w:t>
            </w:r>
          </w:p>
        </w:tc>
        <w:tc>
          <w:tcPr>
            <w:tcW w:w="7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2" w:type="dxa"/>
              <w:bottom w:w="0" w:type="dxa"/>
              <w:right w:w="62" w:type="dxa"/>
            </w:tcMar>
          </w:tcPr>
          <w:p>
            <w:pPr>
              <w:jc w:val="center"/>
              <w:rPr>
                <w:rFonts w:ascii="仿宋" w:hAnsi="仿宋" w:eastAsia="仿宋"/>
                <w:sz w:val="24"/>
                <w:szCs w:val="24"/>
              </w:rPr>
            </w:pPr>
          </w:p>
        </w:tc>
      </w:tr>
      <w:tr>
        <w:tblPrEx>
          <w:tblLayout w:type="fixed"/>
          <w:tblCellMar>
            <w:top w:w="0" w:type="dxa"/>
            <w:left w:w="0" w:type="dxa"/>
            <w:bottom w:w="0" w:type="dxa"/>
            <w:right w:w="0" w:type="dxa"/>
          </w:tblCellMar>
        </w:tblPrEx>
        <w:trPr>
          <w:trHeight w:val="459" w:hRule="atLeast"/>
        </w:trPr>
        <w:tc>
          <w:tcPr>
            <w:tcW w:w="1124" w:type="dxa"/>
            <w:vMerge w:val="continue"/>
            <w:tcBorders>
              <w:top w:val="single" w:color="FFFFFF" w:sz="24" w:space="0"/>
              <w:left w:val="single" w:color="FFFFFF" w:sz="8" w:space="0"/>
              <w:bottom w:val="single" w:color="FFFFFF" w:sz="8" w:space="0"/>
              <w:right w:val="single" w:color="FFFFFF" w:sz="8" w:space="0"/>
            </w:tcBorders>
            <w:vAlign w:val="center"/>
          </w:tcPr>
          <w:p>
            <w:pPr>
              <w:rPr>
                <w:rFonts w:ascii="仿宋" w:hAnsi="仿宋" w:eastAsia="仿宋"/>
                <w:color w:val="2E75B6" w:themeColor="accent1" w:themeShade="BF"/>
                <w:sz w:val="24"/>
                <w:szCs w:val="24"/>
              </w:rPr>
            </w:pPr>
          </w:p>
        </w:tc>
        <w:tc>
          <w:tcPr>
            <w:tcW w:w="783" w:type="dxa"/>
            <w:vMerge w:val="continue"/>
            <w:tcBorders>
              <w:top w:val="single" w:color="FFFFFF" w:sz="24"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493"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7</w:t>
            </w:r>
          </w:p>
        </w:tc>
        <w:tc>
          <w:tcPr>
            <w:tcW w:w="231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国（境）外办学点数量</w:t>
            </w:r>
          </w:p>
        </w:tc>
        <w:tc>
          <w:tcPr>
            <w:tcW w:w="665"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vAlign w:val="center"/>
          </w:tcPr>
          <w:p>
            <w:pPr>
              <w:rPr>
                <w:rFonts w:ascii="仿宋" w:hAnsi="仿宋" w:eastAsia="仿宋"/>
                <w:sz w:val="24"/>
                <w:szCs w:val="24"/>
              </w:rPr>
            </w:pPr>
            <w:r>
              <w:rPr>
                <w:rFonts w:ascii="仿宋" w:hAnsi="仿宋" w:eastAsia="仿宋"/>
                <w:sz w:val="24"/>
                <w:szCs w:val="24"/>
              </w:rPr>
              <w:t>个</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tcPr>
          <w:p>
            <w:pPr>
              <w:jc w:val="center"/>
              <w:rPr>
                <w:rFonts w:ascii="黑体" w:hAnsi="黑体" w:eastAsia="黑体"/>
                <w:sz w:val="24"/>
                <w:szCs w:val="24"/>
              </w:rPr>
            </w:pPr>
            <w:r>
              <w:rPr>
                <w:rFonts w:ascii="黑体" w:hAnsi="黑体" w:eastAsia="黑体"/>
                <w:sz w:val="24"/>
                <w:szCs w:val="24"/>
              </w:rPr>
              <w:t>0</w:t>
            </w:r>
          </w:p>
        </w:tc>
        <w:tc>
          <w:tcPr>
            <w:tcW w:w="992"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tcPr>
          <w:p>
            <w:pPr>
              <w:jc w:val="center"/>
              <w:rPr>
                <w:rFonts w:ascii="黑体" w:hAnsi="黑体" w:eastAsia="黑体"/>
                <w:sz w:val="24"/>
                <w:szCs w:val="24"/>
              </w:rPr>
            </w:pPr>
            <w:r>
              <w:rPr>
                <w:rFonts w:ascii="黑体" w:hAnsi="黑体" w:eastAsia="黑体"/>
                <w:sz w:val="24"/>
                <w:szCs w:val="24"/>
              </w:rPr>
              <w:t>0</w:t>
            </w:r>
          </w:p>
        </w:tc>
        <w:tc>
          <w:tcPr>
            <w:tcW w:w="7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2" w:type="dxa"/>
              <w:bottom w:w="0" w:type="dxa"/>
              <w:right w:w="62" w:type="dxa"/>
            </w:tcMar>
          </w:tcPr>
          <w:p>
            <w:pPr>
              <w:jc w:val="center"/>
              <w:rPr>
                <w:rFonts w:ascii="仿宋" w:hAnsi="仿宋" w:eastAsia="仿宋"/>
                <w:sz w:val="24"/>
                <w:szCs w:val="24"/>
              </w:rPr>
            </w:pPr>
          </w:p>
        </w:tc>
      </w:tr>
    </w:tbl>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rPr>
          <w:rFonts w:ascii="仿宋" w:hAnsi="仿宋" w:eastAsia="仿宋"/>
          <w:color w:val="2E75B6" w:themeColor="accent1" w:themeShade="BF"/>
          <w:sz w:val="24"/>
          <w:szCs w:val="24"/>
        </w:rPr>
      </w:pPr>
    </w:p>
    <w:p>
      <w:pPr>
        <w:spacing w:after="156" w:afterLines="50"/>
        <w:rPr>
          <w:rFonts w:ascii="黑体" w:hAnsi="黑体" w:eastAsia="黑体"/>
          <w:sz w:val="24"/>
          <w:szCs w:val="24"/>
          <w:u w:color="C00000"/>
        </w:rPr>
      </w:pPr>
      <w:r>
        <w:rPr>
          <w:rFonts w:ascii="黑体" w:hAnsi="黑体" w:eastAsia="黑体"/>
          <w:b/>
          <w:sz w:val="24"/>
          <w:szCs w:val="24"/>
        </w:rPr>
        <mc:AlternateContent>
          <mc:Choice Requires="wps">
            <w:drawing>
              <wp:anchor distT="0" distB="0" distL="114300" distR="114300" simplePos="0" relativeHeight="251668480" behindDoc="0" locked="0" layoutInCell="1" allowOverlap="1">
                <wp:simplePos x="0" y="0"/>
                <wp:positionH relativeFrom="column">
                  <wp:posOffset>387350</wp:posOffset>
                </wp:positionH>
                <wp:positionV relativeFrom="paragraph">
                  <wp:posOffset>184150</wp:posOffset>
                </wp:positionV>
                <wp:extent cx="2139950" cy="0"/>
                <wp:effectExtent l="0" t="0" r="31750" b="19050"/>
                <wp:wrapNone/>
                <wp:docPr id="19" name="直接连接符 19"/>
                <wp:cNvGraphicFramePr/>
                <a:graphic xmlns:a="http://schemas.openxmlformats.org/drawingml/2006/main">
                  <a:graphicData uri="http://schemas.microsoft.com/office/word/2010/wordprocessingShape">
                    <wps:wsp>
                      <wps:cNvCnPr/>
                      <wps:spPr>
                        <a:xfrm>
                          <a:off x="0" y="0"/>
                          <a:ext cx="213995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pt;margin-top:14.5pt;height:0pt;width:168.5pt;z-index:251668480;mso-width-relative:page;mso-height-relative:page;" filled="f" stroked="t" coordsize="21600,21600" o:gfxdata="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8goK1QAAAAgBAAAPAAAAAAAAAAEAIAAAACIAAABkcnMvZG93&#10;bnJldi54bWxQSwECFAAUAAAACACHTuJAhdvWXcoBAABmAwAADgAAAAAAAAABACAAAAAkAQAAZHJz&#10;L2Uyb0RvYy54bWxQSwUGAAAAAAYABgBZAQAAYAUAAAAA&#10;">
                <v:fill on="f" focussize="0,0"/>
                <v:stroke weight="1pt" color="#C00000 [3204]" miterlimit="8" joinstyle="miter"/>
                <v:imagedata o:title=""/>
                <o:lock v:ext="edit" aspectratio="f"/>
              </v:line>
            </w:pict>
          </mc:Fallback>
        </mc:AlternateContent>
      </w:r>
      <w:r>
        <w:rPr>
          <w:rFonts w:ascii="黑体" w:hAnsi="黑体" w:eastAsia="黑体"/>
          <w:b/>
          <w:sz w:val="24"/>
          <w:szCs w:val="24"/>
          <w:shd w:val="clear" w:color="auto" w:fill="C00000"/>
        </w:rPr>
        <w:t xml:space="preserve"> 表5 </w:t>
      </w:r>
      <w:r>
        <w:rPr>
          <w:rFonts w:ascii="仿宋" w:hAnsi="仿宋" w:eastAsia="仿宋"/>
          <w:color w:val="2E75B6" w:themeColor="accent1" w:themeShade="BF"/>
          <w:sz w:val="32"/>
          <w:szCs w:val="32"/>
          <w:u w:color="C00000"/>
        </w:rPr>
        <w:t xml:space="preserve"> </w:t>
      </w:r>
      <w:r>
        <w:rPr>
          <w:rFonts w:ascii="黑体" w:hAnsi="黑体" w:eastAsia="黑体"/>
          <w:sz w:val="24"/>
          <w:szCs w:val="24"/>
          <w:u w:color="C00000"/>
        </w:rPr>
        <w:t>通辽职业学院</w:t>
      </w:r>
      <w:r>
        <w:rPr>
          <w:rFonts w:hint="eastAsia" w:ascii="黑体" w:hAnsi="黑体" w:eastAsia="黑体"/>
          <w:sz w:val="24"/>
          <w:szCs w:val="24"/>
          <w:u w:color="C00000"/>
        </w:rPr>
        <w:t>“服务贡献表”</w:t>
      </w:r>
    </w:p>
    <w:tbl>
      <w:tblPr>
        <w:tblStyle w:val="11"/>
        <w:tblW w:w="8212" w:type="dxa"/>
        <w:tblInd w:w="0" w:type="dxa"/>
        <w:tblLayout w:type="fixed"/>
        <w:tblCellMar>
          <w:top w:w="0" w:type="dxa"/>
          <w:left w:w="0" w:type="dxa"/>
          <w:bottom w:w="0" w:type="dxa"/>
          <w:right w:w="0" w:type="dxa"/>
        </w:tblCellMar>
      </w:tblPr>
      <w:tblGrid>
        <w:gridCol w:w="741"/>
        <w:gridCol w:w="705"/>
        <w:gridCol w:w="245"/>
        <w:gridCol w:w="709"/>
        <w:gridCol w:w="2524"/>
        <w:gridCol w:w="730"/>
        <w:gridCol w:w="863"/>
        <w:gridCol w:w="847"/>
        <w:gridCol w:w="848"/>
      </w:tblGrid>
      <w:tr>
        <w:tblPrEx>
          <w:tblLayout w:type="fixed"/>
          <w:tblCellMar>
            <w:top w:w="0" w:type="dxa"/>
            <w:left w:w="0" w:type="dxa"/>
            <w:bottom w:w="0" w:type="dxa"/>
            <w:right w:w="0" w:type="dxa"/>
          </w:tblCellMar>
        </w:tblPrEx>
        <w:trPr>
          <w:trHeight w:val="573" w:hRule="atLeast"/>
        </w:trPr>
        <w:tc>
          <w:tcPr>
            <w:tcW w:w="741" w:type="dxa"/>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院校代码</w:t>
            </w:r>
          </w:p>
        </w:tc>
        <w:tc>
          <w:tcPr>
            <w:tcW w:w="705" w:type="dxa"/>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名称</w:t>
            </w:r>
          </w:p>
        </w:tc>
        <w:tc>
          <w:tcPr>
            <w:tcW w:w="3478" w:type="dxa"/>
            <w:gridSpan w:val="3"/>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指标</w:t>
            </w:r>
          </w:p>
        </w:tc>
        <w:tc>
          <w:tcPr>
            <w:tcW w:w="730" w:type="dxa"/>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单位</w:t>
            </w:r>
          </w:p>
        </w:tc>
        <w:tc>
          <w:tcPr>
            <w:tcW w:w="863" w:type="dxa"/>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2018年</w:t>
            </w:r>
          </w:p>
        </w:tc>
        <w:tc>
          <w:tcPr>
            <w:tcW w:w="847" w:type="dxa"/>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2019年</w:t>
            </w:r>
          </w:p>
        </w:tc>
        <w:tc>
          <w:tcPr>
            <w:tcW w:w="848" w:type="dxa"/>
            <w:tcBorders>
              <w:top w:val="single" w:color="FFFFFF" w:sz="8" w:space="0"/>
              <w:left w:val="single" w:color="FFFFFF" w:sz="8" w:space="0"/>
              <w:bottom w:val="single" w:color="FFFFFF" w:sz="8" w:space="0"/>
              <w:right w:val="single" w:color="FFFFFF" w:sz="8" w:space="0"/>
            </w:tcBorders>
            <w:shd w:val="clear" w:color="auto" w:fill="5B9BD5"/>
            <w:tcMar>
              <w:top w:w="15" w:type="dxa"/>
              <w:left w:w="43" w:type="dxa"/>
              <w:bottom w:w="0" w:type="dxa"/>
              <w:right w:w="43"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备注</w:t>
            </w:r>
          </w:p>
        </w:tc>
      </w:tr>
      <w:tr>
        <w:tblPrEx>
          <w:tblLayout w:type="fixed"/>
          <w:tblCellMar>
            <w:top w:w="0" w:type="dxa"/>
            <w:left w:w="0" w:type="dxa"/>
            <w:bottom w:w="0" w:type="dxa"/>
            <w:right w:w="0" w:type="dxa"/>
          </w:tblCellMar>
        </w:tblPrEx>
        <w:trPr>
          <w:trHeight w:val="397" w:hRule="atLeast"/>
        </w:trPr>
        <w:tc>
          <w:tcPr>
            <w:tcW w:w="741" w:type="dxa"/>
            <w:vMerge w:val="restart"/>
            <w:tcBorders>
              <w:top w:val="single" w:color="FFFFFF" w:sz="8" w:space="0"/>
              <w:left w:val="single" w:color="FFFFFF" w:sz="8" w:space="0"/>
              <w:right w:val="single" w:color="FFFFFF" w:sz="8" w:space="0"/>
            </w:tcBorders>
            <w:shd w:val="clear" w:color="auto" w:fill="5B9BD5"/>
            <w:tcMar>
              <w:top w:w="15" w:type="dxa"/>
              <w:left w:w="43" w:type="dxa"/>
              <w:bottom w:w="0" w:type="dxa"/>
              <w:right w:w="43" w:type="dxa"/>
            </w:tcMar>
            <w:vAlign w:val="center"/>
          </w:tcPr>
          <w:p>
            <w:pPr>
              <w:rPr>
                <w:rFonts w:ascii="黑体" w:hAnsi="黑体" w:eastAsia="黑体"/>
                <w:color w:val="FFFFFF" w:themeColor="background1"/>
                <w:sz w:val="24"/>
                <w:szCs w:val="24"/>
                <w14:textFill>
                  <w14:solidFill>
                    <w14:schemeClr w14:val="bg1"/>
                  </w14:solidFill>
                </w14:textFill>
              </w:rPr>
            </w:pPr>
            <w:r>
              <w:rPr>
                <w:rFonts w:ascii="Calibri" w:hAnsi="Calibri" w:eastAsia="黑体" w:cs="Calibri"/>
                <w:color w:val="FFFFFF" w:themeColor="background1"/>
                <w:sz w:val="24"/>
                <w:szCs w:val="24"/>
                <w14:textFill>
                  <w14:solidFill>
                    <w14:schemeClr w14:val="bg1"/>
                  </w14:solidFill>
                </w14:textFill>
              </w:rPr>
              <w:t> </w:t>
            </w:r>
            <w:r>
              <w:rPr>
                <w:rFonts w:ascii="黑体" w:hAnsi="黑体" w:eastAsia="黑体" w:cs="Calibri"/>
                <w:color w:val="FFFFFF" w:themeColor="background1"/>
                <w:sz w:val="24"/>
                <w:szCs w:val="24"/>
                <w14:textFill>
                  <w14:solidFill>
                    <w14:schemeClr w14:val="bg1"/>
                  </w14:solidFill>
                </w14:textFill>
              </w:rPr>
              <w:t>13740</w:t>
            </w:r>
          </w:p>
        </w:tc>
        <w:tc>
          <w:tcPr>
            <w:tcW w:w="705" w:type="dxa"/>
            <w:vMerge w:val="restart"/>
            <w:tcBorders>
              <w:top w:val="single" w:color="FFFFFF" w:sz="8" w:space="0"/>
              <w:left w:val="single" w:color="FFFFFF" w:sz="8" w:space="0"/>
              <w:right w:val="single" w:color="FFFFFF" w:sz="8" w:space="0"/>
            </w:tcBorders>
            <w:shd w:val="clear" w:color="auto" w:fill="5B9BD5"/>
            <w:tcMar>
              <w:top w:w="15" w:type="dxa"/>
              <w:left w:w="43" w:type="dxa"/>
              <w:bottom w:w="0" w:type="dxa"/>
              <w:right w:w="43" w:type="dxa"/>
            </w:tcMar>
            <w:vAlign w:val="center"/>
          </w:tcPr>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通辽</w:t>
            </w:r>
          </w:p>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职业</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学院</w:t>
            </w:r>
          </w:p>
        </w:tc>
        <w:tc>
          <w:tcPr>
            <w:tcW w:w="245"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1</w:t>
            </w: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全日制在校生人数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bottom"/>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6</w:t>
            </w:r>
            <w:r>
              <w:rPr>
                <w:rFonts w:ascii="黑体" w:hAnsi="黑体" w:eastAsia="黑体"/>
                <w:color w:val="000000" w:themeColor="text1"/>
                <w:sz w:val="24"/>
                <w:szCs w:val="24"/>
                <w14:textFill>
                  <w14:solidFill>
                    <w14:schemeClr w14:val="tx1"/>
                  </w14:solidFill>
                </w14:textFill>
              </w:rPr>
              <w:t>848</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bottom"/>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6</w:t>
            </w:r>
            <w:r>
              <w:rPr>
                <w:rFonts w:ascii="黑体" w:hAnsi="黑体" w:eastAsia="黑体"/>
                <w:color w:val="000000" w:themeColor="text1"/>
                <w:sz w:val="24"/>
                <w:szCs w:val="24"/>
                <w14:textFill>
                  <w14:solidFill>
                    <w14:schemeClr w14:val="tx1"/>
                  </w14:solidFill>
                </w14:textFill>
              </w:rPr>
              <w:t>757</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毕业生人数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bottom"/>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147</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bottom"/>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248</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其中：就业人数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010</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032</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毕业生就业去向：</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A类:留在当地就业人数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4</w:t>
            </w:r>
            <w:r>
              <w:rPr>
                <w:rFonts w:ascii="黑体" w:hAnsi="黑体" w:eastAsia="黑体"/>
                <w:color w:val="000000" w:themeColor="text1"/>
                <w:sz w:val="24"/>
                <w:szCs w:val="24"/>
                <w14:textFill>
                  <w14:solidFill>
                    <w14:schemeClr w14:val="tx1"/>
                  </w14:solidFill>
                </w14:textFill>
              </w:rPr>
              <w:t>67</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6</w:t>
            </w:r>
            <w:r>
              <w:rPr>
                <w:rFonts w:ascii="黑体" w:hAnsi="黑体" w:eastAsia="黑体"/>
                <w:color w:val="000000" w:themeColor="text1"/>
                <w:sz w:val="24"/>
                <w:szCs w:val="24"/>
                <w14:textFill>
                  <w14:solidFill>
                    <w14:schemeClr w14:val="tx1"/>
                  </w14:solidFill>
                </w14:textFill>
              </w:rPr>
              <w:t>37</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lef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B类:到西部地区和东北地区就业人数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ascii="黑体" w:hAnsi="黑体" w:eastAsia="黑体"/>
                <w:color w:val="000000" w:themeColor="text1"/>
                <w:sz w:val="24"/>
                <w:szCs w:val="24"/>
                <w14:textFill>
                  <w14:solidFill>
                    <w14:schemeClr w14:val="tx1"/>
                  </w14:solidFill>
                </w14:textFill>
              </w:rPr>
              <w:t>696</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ascii="黑体" w:hAnsi="黑体" w:eastAsia="黑体"/>
                <w:color w:val="000000" w:themeColor="text1"/>
                <w:sz w:val="24"/>
                <w:szCs w:val="24"/>
                <w14:textFill>
                  <w14:solidFill>
                    <w14:schemeClr w14:val="tx1"/>
                  </w14:solidFill>
                </w14:textFill>
              </w:rPr>
              <w:t>760</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lef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C类:到中小微企业等基层服务人数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ascii="黑体" w:hAnsi="黑体" w:eastAsia="黑体"/>
                <w:color w:val="000000" w:themeColor="text1"/>
                <w:sz w:val="24"/>
                <w:szCs w:val="24"/>
                <w14:textFill>
                  <w14:solidFill>
                    <w14:schemeClr w14:val="tx1"/>
                  </w14:solidFill>
                </w14:textFill>
              </w:rPr>
              <w:t>099</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ascii="黑体" w:hAnsi="黑体" w:eastAsia="黑体"/>
                <w:color w:val="000000" w:themeColor="text1"/>
                <w:sz w:val="24"/>
                <w:szCs w:val="24"/>
                <w14:textFill>
                  <w14:solidFill>
                    <w14:schemeClr w14:val="tx1"/>
                  </w14:solidFill>
                </w14:textFill>
              </w:rPr>
              <w:t>120</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lef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D类:到500强企业就业人数</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5</w:t>
            </w:r>
            <w:r>
              <w:rPr>
                <w:rFonts w:ascii="黑体" w:hAnsi="黑体" w:eastAsia="黑体"/>
                <w:color w:val="000000" w:themeColor="text1"/>
                <w:sz w:val="24"/>
                <w:szCs w:val="24"/>
                <w14:textFill>
                  <w14:solidFill>
                    <w14:schemeClr w14:val="tx1"/>
                  </w14:solidFill>
                </w14:textFill>
              </w:rPr>
              <w:t>8</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6</w:t>
            </w:r>
            <w:r>
              <w:rPr>
                <w:rFonts w:ascii="黑体" w:hAnsi="黑体" w:eastAsia="黑体"/>
                <w:color w:val="000000" w:themeColor="text1"/>
                <w:sz w:val="24"/>
                <w:szCs w:val="24"/>
                <w14:textFill>
                  <w14:solidFill>
                    <w14:schemeClr w14:val="tx1"/>
                  </w14:solidFill>
                </w14:textFill>
              </w:rPr>
              <w:t>2</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2</w:t>
            </w: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技术服务到款额</w:t>
            </w:r>
          </w:p>
        </w:tc>
        <w:tc>
          <w:tcPr>
            <w:tcW w:w="730"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万元</w:t>
            </w:r>
          </w:p>
        </w:tc>
        <w:tc>
          <w:tcPr>
            <w:tcW w:w="863"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.51</w:t>
            </w:r>
          </w:p>
        </w:tc>
        <w:tc>
          <w:tcPr>
            <w:tcW w:w="8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.2</w:t>
            </w:r>
          </w:p>
        </w:tc>
        <w:tc>
          <w:tcPr>
            <w:tcW w:w="848"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450"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top w:val="single" w:color="FFFFFF" w:sz="8" w:space="0"/>
              <w:left w:val="single" w:color="FFFFFF" w:sz="8" w:space="0"/>
              <w:bottom w:val="single" w:color="FFFFFF" w:sz="8" w:space="0"/>
              <w:right w:val="single" w:color="FFFFFF" w:sz="8" w:space="0"/>
            </w:tcBorders>
            <w:vAlign w:val="center"/>
          </w:tcPr>
          <w:p>
            <w:pPr>
              <w:rPr>
                <w:rFonts w:ascii="仿宋" w:hAnsi="仿宋" w:eastAsia="仿宋"/>
                <w:color w:val="000000" w:themeColor="text1"/>
                <w:sz w:val="24"/>
                <w:szCs w:val="24"/>
                <w14:textFill>
                  <w14:solidFill>
                    <w14:schemeClr w14:val="tx1"/>
                  </w14:solidFill>
                </w14:textFill>
              </w:rPr>
            </w:pP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技术服务产生的经济效益</w:t>
            </w:r>
          </w:p>
        </w:tc>
        <w:tc>
          <w:tcPr>
            <w:tcW w:w="730"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万元</w:t>
            </w:r>
          </w:p>
        </w:tc>
        <w:tc>
          <w:tcPr>
            <w:tcW w:w="863"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0</w:t>
            </w:r>
          </w:p>
        </w:tc>
        <w:tc>
          <w:tcPr>
            <w:tcW w:w="8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0</w:t>
            </w:r>
          </w:p>
        </w:tc>
        <w:tc>
          <w:tcPr>
            <w:tcW w:w="848"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tcPr>
          <w:p>
            <w:pPr>
              <w:jc w:val="center"/>
              <w:rPr>
                <w:rFonts w:ascii="仿宋" w:hAnsi="仿宋" w:eastAsia="仿宋"/>
                <w:color w:val="2E75B6" w:themeColor="accent1" w:themeShade="BF"/>
                <w:sz w:val="24"/>
                <w:szCs w:val="24"/>
              </w:rPr>
            </w:pPr>
            <w:r>
              <w:rPr>
                <w:rFonts w:ascii="仿宋" w:hAnsi="仿宋" w:eastAsia="仿宋"/>
                <w:sz w:val="24"/>
                <w:szCs w:val="24"/>
              </w:rPr>
              <w:t>提供产生经济效益的企业出具的证明</w:t>
            </w:r>
            <w:r>
              <w:rPr>
                <w:rFonts w:hint="eastAsia" w:ascii="仿宋" w:hAnsi="仿宋" w:eastAsia="仿宋"/>
                <w:sz w:val="24"/>
                <w:szCs w:val="24"/>
              </w:rPr>
              <w:t>，</w:t>
            </w:r>
            <w:r>
              <w:rPr>
                <w:rFonts w:ascii="仿宋" w:hAnsi="仿宋" w:eastAsia="仿宋"/>
                <w:sz w:val="24"/>
                <w:szCs w:val="24"/>
              </w:rPr>
              <w:t>并盖财务章</w:t>
            </w: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3</w:t>
            </w: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纵向科研经费到款额</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万元</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3</w:t>
            </w:r>
            <w:r>
              <w:rPr>
                <w:rFonts w:ascii="黑体" w:hAnsi="黑体" w:eastAsia="黑体"/>
                <w:color w:val="000000" w:themeColor="text1"/>
                <w:sz w:val="24"/>
                <w:szCs w:val="24"/>
                <w14:textFill>
                  <w14:solidFill>
                    <w14:schemeClr w14:val="tx1"/>
                  </w14:solidFill>
                </w14:textFill>
              </w:rPr>
              <w:t>3.92</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ascii="黑体" w:hAnsi="黑体" w:eastAsia="黑体"/>
                <w:color w:val="000000" w:themeColor="text1"/>
                <w:sz w:val="24"/>
                <w:szCs w:val="24"/>
                <w14:textFill>
                  <w14:solidFill>
                    <w14:schemeClr w14:val="tx1"/>
                  </w14:solidFill>
                </w14:textFill>
              </w:rPr>
              <w:t>14.52</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4</w:t>
            </w: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技术交易到款额</w:t>
            </w:r>
          </w:p>
        </w:tc>
        <w:tc>
          <w:tcPr>
            <w:tcW w:w="730"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万元</w:t>
            </w:r>
          </w:p>
        </w:tc>
        <w:tc>
          <w:tcPr>
            <w:tcW w:w="863"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0</w:t>
            </w:r>
          </w:p>
        </w:tc>
        <w:tc>
          <w:tcPr>
            <w:tcW w:w="8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0</w:t>
            </w:r>
          </w:p>
        </w:tc>
        <w:tc>
          <w:tcPr>
            <w:tcW w:w="848"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restart"/>
            <w:tcBorders>
              <w:top w:val="single" w:color="FFFFFF" w:sz="8" w:space="0"/>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5</w:t>
            </w: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非学历培训服务</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人日</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7</w:t>
            </w:r>
            <w:r>
              <w:rPr>
                <w:rFonts w:ascii="黑体" w:hAnsi="黑体" w:eastAsia="黑体"/>
                <w:color w:val="000000" w:themeColor="text1"/>
                <w:sz w:val="24"/>
                <w:szCs w:val="24"/>
                <w14:textFill>
                  <w14:solidFill>
                    <w14:schemeClr w14:val="tx1"/>
                  </w14:solidFill>
                </w14:textFill>
              </w:rPr>
              <w:t>363</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8</w:t>
            </w:r>
            <w:r>
              <w:rPr>
                <w:rFonts w:ascii="黑体" w:hAnsi="黑体" w:eastAsia="黑体"/>
                <w:color w:val="000000" w:themeColor="text1"/>
                <w:sz w:val="24"/>
                <w:szCs w:val="24"/>
                <w14:textFill>
                  <w14:solidFill>
                    <w14:schemeClr w14:val="tx1"/>
                  </w14:solidFill>
                </w14:textFill>
              </w:rPr>
              <w:t>0282</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709" w:type="dxa"/>
            <w:vMerge w:val="restart"/>
            <w:tcBorders>
              <w:top w:val="single" w:color="FFFFFF" w:sz="8" w:space="0"/>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其中</w:t>
            </w:r>
            <w:r>
              <w:rPr>
                <w:rFonts w:hint="eastAsia" w:ascii="仿宋" w:hAnsi="仿宋" w:eastAsia="仿宋"/>
                <w:color w:val="000000" w:themeColor="text1"/>
                <w:sz w:val="24"/>
                <w:szCs w:val="24"/>
                <w14:textFill>
                  <w14:solidFill>
                    <w14:schemeClr w14:val="tx1"/>
                  </w14:solidFill>
                </w14:textFill>
              </w:rPr>
              <w:t>：</w:t>
            </w:r>
          </w:p>
        </w:tc>
        <w:tc>
          <w:tcPr>
            <w:tcW w:w="2524" w:type="dxa"/>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技术技能培训服务</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人日</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4</w:t>
            </w:r>
            <w:r>
              <w:rPr>
                <w:rFonts w:ascii="黑体" w:hAnsi="黑体" w:eastAsia="黑体"/>
                <w:color w:val="000000" w:themeColor="text1"/>
                <w:sz w:val="24"/>
                <w:szCs w:val="24"/>
                <w14:textFill>
                  <w14:solidFill>
                    <w14:schemeClr w14:val="tx1"/>
                  </w14:solidFill>
                </w14:textFill>
              </w:rPr>
              <w:t>996</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3</w:t>
            </w:r>
            <w:r>
              <w:rPr>
                <w:rFonts w:ascii="黑体" w:hAnsi="黑体" w:eastAsia="黑体"/>
                <w:color w:val="000000" w:themeColor="text1"/>
                <w:sz w:val="24"/>
                <w:szCs w:val="24"/>
                <w14:textFill>
                  <w14:solidFill>
                    <w14:schemeClr w14:val="tx1"/>
                  </w14:solidFill>
                </w14:textFill>
              </w:rPr>
              <w:t>2335</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709" w:type="dxa"/>
            <w:vMerge w:val="continue"/>
            <w:tcBorders>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2524" w:type="dxa"/>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新型职业农民培训服务</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人日</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1</w:t>
            </w:r>
            <w:r>
              <w:rPr>
                <w:rFonts w:ascii="黑体" w:hAnsi="黑体" w:eastAsia="黑体"/>
                <w:color w:val="000000" w:themeColor="text1"/>
                <w:sz w:val="24"/>
                <w:szCs w:val="24"/>
                <w14:textFill>
                  <w14:solidFill>
                    <w14:schemeClr w14:val="tx1"/>
                  </w14:solidFill>
                </w14:textFill>
              </w:rPr>
              <w:t>948</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3</w:t>
            </w:r>
            <w:r>
              <w:rPr>
                <w:rFonts w:ascii="黑体" w:hAnsi="黑体" w:eastAsia="黑体"/>
                <w:color w:val="000000" w:themeColor="text1"/>
                <w:sz w:val="24"/>
                <w:szCs w:val="24"/>
                <w14:textFill>
                  <w14:solidFill>
                    <w14:schemeClr w14:val="tx1"/>
                  </w14:solidFill>
                </w14:textFill>
              </w:rPr>
              <w:t>8940</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709" w:type="dxa"/>
            <w:vMerge w:val="continue"/>
            <w:tcBorders>
              <w:left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2524" w:type="dxa"/>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退役军人培训服务</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人日</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4</w:t>
            </w:r>
            <w:r>
              <w:rPr>
                <w:rFonts w:ascii="黑体" w:hAnsi="黑体" w:eastAsia="黑体"/>
                <w:color w:val="000000" w:themeColor="text1"/>
                <w:sz w:val="24"/>
                <w:szCs w:val="24"/>
                <w14:textFill>
                  <w14:solidFill>
                    <w14:schemeClr w14:val="tx1"/>
                  </w14:solidFill>
                </w14:textFill>
              </w:rPr>
              <w:t>212</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vMerge w:val="continue"/>
            <w:tcBorders>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709" w:type="dxa"/>
            <w:vMerge w:val="continue"/>
            <w:tcBorders>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p>
        </w:tc>
        <w:tc>
          <w:tcPr>
            <w:tcW w:w="2524" w:type="dxa"/>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基层社会服务人员培训服务</w:t>
            </w:r>
          </w:p>
        </w:tc>
        <w:tc>
          <w:tcPr>
            <w:tcW w:w="730"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人日</w:t>
            </w:r>
          </w:p>
        </w:tc>
        <w:tc>
          <w:tcPr>
            <w:tcW w:w="863"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ascii="黑体" w:hAnsi="黑体" w:eastAsia="黑体"/>
                <w:color w:val="000000" w:themeColor="text1"/>
                <w:sz w:val="24"/>
                <w:szCs w:val="24"/>
                <w14:textFill>
                  <w14:solidFill>
                    <w14:schemeClr w14:val="tx1"/>
                  </w14:solidFill>
                </w14:textFill>
              </w:rPr>
              <w:t>419</w:t>
            </w:r>
          </w:p>
        </w:tc>
        <w:tc>
          <w:tcPr>
            <w:tcW w:w="847"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4</w:t>
            </w:r>
            <w:r>
              <w:rPr>
                <w:rFonts w:ascii="黑体" w:hAnsi="黑体" w:eastAsia="黑体"/>
                <w:color w:val="000000" w:themeColor="text1"/>
                <w:sz w:val="24"/>
                <w:szCs w:val="24"/>
                <w14:textFill>
                  <w14:solidFill>
                    <w14:schemeClr w14:val="tx1"/>
                  </w14:solidFill>
                </w14:textFill>
              </w:rPr>
              <w:t>795</w:t>
            </w:r>
          </w:p>
        </w:tc>
        <w:tc>
          <w:tcPr>
            <w:tcW w:w="848" w:type="dxa"/>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97"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245"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6</w:t>
            </w:r>
          </w:p>
        </w:tc>
        <w:tc>
          <w:tcPr>
            <w:tcW w:w="3233"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非学历培训到款额</w:t>
            </w:r>
          </w:p>
        </w:tc>
        <w:tc>
          <w:tcPr>
            <w:tcW w:w="730"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万元</w:t>
            </w:r>
          </w:p>
        </w:tc>
        <w:tc>
          <w:tcPr>
            <w:tcW w:w="863"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2</w:t>
            </w:r>
            <w:r>
              <w:rPr>
                <w:rFonts w:ascii="黑体" w:hAnsi="黑体" w:eastAsia="黑体"/>
                <w:color w:val="000000" w:themeColor="text1"/>
                <w:sz w:val="24"/>
                <w:szCs w:val="24"/>
                <w14:textFill>
                  <w14:solidFill>
                    <w14:schemeClr w14:val="tx1"/>
                  </w14:solidFill>
                </w14:textFill>
              </w:rPr>
              <w:t>21.99</w:t>
            </w:r>
          </w:p>
        </w:tc>
        <w:tc>
          <w:tcPr>
            <w:tcW w:w="847"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vAlign w:val="center"/>
          </w:tcPr>
          <w:p>
            <w:pPr>
              <w:jc w:val="center"/>
              <w:rPr>
                <w:rFonts w:ascii="黑体" w:hAnsi="黑体" w:eastAsia="黑体"/>
                <w:color w:val="000000" w:themeColor="text1"/>
                <w:sz w:val="24"/>
                <w:szCs w:val="24"/>
                <w14:textFill>
                  <w14:solidFill>
                    <w14:schemeClr w14:val="tx1"/>
                  </w14:solidFill>
                </w14:textFill>
              </w:rPr>
            </w:pPr>
            <w:r>
              <w:rPr>
                <w:rFonts w:hint="eastAsia" w:ascii="黑体" w:hAnsi="黑体" w:eastAsia="黑体"/>
                <w:color w:val="000000" w:themeColor="text1"/>
                <w:sz w:val="24"/>
                <w:szCs w:val="24"/>
                <w14:textFill>
                  <w14:solidFill>
                    <w14:schemeClr w14:val="tx1"/>
                  </w14:solidFill>
                </w14:textFill>
              </w:rPr>
              <w:t>5</w:t>
            </w:r>
            <w:r>
              <w:rPr>
                <w:rFonts w:ascii="黑体" w:hAnsi="黑体" w:eastAsia="黑体"/>
                <w:color w:val="000000" w:themeColor="text1"/>
                <w:sz w:val="24"/>
                <w:szCs w:val="24"/>
                <w14:textFill>
                  <w14:solidFill>
                    <w14:schemeClr w14:val="tx1"/>
                  </w14:solidFill>
                </w14:textFill>
              </w:rPr>
              <w:t>63.07</w:t>
            </w:r>
          </w:p>
        </w:tc>
        <w:tc>
          <w:tcPr>
            <w:tcW w:w="848" w:type="dxa"/>
            <w:tcBorders>
              <w:top w:val="single" w:color="FFFFFF" w:sz="8" w:space="0"/>
              <w:left w:val="single" w:color="FFFFFF" w:sz="8" w:space="0"/>
              <w:bottom w:val="single" w:color="FFFFFF" w:sz="8" w:space="0"/>
              <w:right w:val="single" w:color="FFFFFF" w:sz="8" w:space="0"/>
            </w:tcBorders>
            <w:shd w:val="clear" w:color="auto" w:fill="EAEFF7"/>
            <w:tcMar>
              <w:top w:w="15" w:type="dxa"/>
              <w:left w:w="43" w:type="dxa"/>
              <w:bottom w:w="0" w:type="dxa"/>
              <w:right w:w="43" w:type="dxa"/>
            </w:tcMar>
          </w:tcPr>
          <w:p>
            <w:pPr>
              <w:jc w:val="center"/>
              <w:rPr>
                <w:rFonts w:ascii="黑体" w:hAnsi="黑体" w:eastAsia="黑体"/>
                <w:color w:val="2E75B6" w:themeColor="accent1" w:themeShade="BF"/>
                <w:sz w:val="24"/>
                <w:szCs w:val="24"/>
              </w:rPr>
            </w:pPr>
          </w:p>
        </w:tc>
      </w:tr>
      <w:tr>
        <w:tblPrEx>
          <w:tblLayout w:type="fixed"/>
          <w:tblCellMar>
            <w:top w:w="0" w:type="dxa"/>
            <w:left w:w="0" w:type="dxa"/>
            <w:bottom w:w="0" w:type="dxa"/>
            <w:right w:w="0" w:type="dxa"/>
          </w:tblCellMar>
        </w:tblPrEx>
        <w:trPr>
          <w:trHeight w:val="388" w:hRule="atLeast"/>
        </w:trPr>
        <w:tc>
          <w:tcPr>
            <w:tcW w:w="741"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918" w:type="dxa"/>
            <w:gridSpan w:val="6"/>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主要办学经费来源（单选）：省级（）    地市级（</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w:t>
            </w:r>
          </w:p>
          <w:p>
            <w:pPr>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行业或企业（）          其他（）</w:t>
            </w:r>
          </w:p>
        </w:tc>
        <w:tc>
          <w:tcPr>
            <w:tcW w:w="848" w:type="dxa"/>
            <w:vMerge w:val="restart"/>
            <w:tcBorders>
              <w:top w:val="single" w:color="FFFFFF" w:sz="8" w:space="0"/>
              <w:left w:val="single" w:color="FFFFFF" w:sz="8" w:space="0"/>
              <w:right w:val="single" w:color="FFFFFF" w:sz="8" w:space="0"/>
            </w:tcBorders>
            <w:shd w:val="clear" w:color="auto" w:fill="EAEFF7"/>
            <w:tcMar>
              <w:top w:w="15" w:type="dxa"/>
              <w:left w:w="43" w:type="dxa"/>
              <w:bottom w:w="0" w:type="dxa"/>
              <w:right w:w="43" w:type="dxa"/>
            </w:tcMar>
          </w:tcPr>
          <w:p>
            <w:pPr>
              <w:rPr>
                <w:rFonts w:ascii="仿宋" w:hAnsi="仿宋" w:eastAsia="仿宋"/>
                <w:color w:val="2E75B6" w:themeColor="accent1" w:themeShade="BF"/>
                <w:sz w:val="24"/>
                <w:szCs w:val="24"/>
              </w:rPr>
            </w:pPr>
            <w:r>
              <w:rPr>
                <w:rFonts w:ascii="Calibri" w:hAnsi="Calibri" w:eastAsia="仿宋" w:cs="Calibri"/>
                <w:color w:val="2E75B6" w:themeColor="accent1" w:themeShade="BF"/>
                <w:sz w:val="24"/>
                <w:szCs w:val="24"/>
              </w:rPr>
              <w:t> </w:t>
            </w:r>
          </w:p>
        </w:tc>
      </w:tr>
      <w:tr>
        <w:tblPrEx>
          <w:tblLayout w:type="fixed"/>
          <w:tblCellMar>
            <w:top w:w="0" w:type="dxa"/>
            <w:left w:w="0" w:type="dxa"/>
            <w:bottom w:w="0" w:type="dxa"/>
            <w:right w:w="0" w:type="dxa"/>
          </w:tblCellMar>
        </w:tblPrEx>
        <w:trPr>
          <w:trHeight w:val="388" w:hRule="atLeast"/>
        </w:trPr>
        <w:tc>
          <w:tcPr>
            <w:tcW w:w="741" w:type="dxa"/>
            <w:vMerge w:val="continue"/>
            <w:tcBorders>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05" w:type="dxa"/>
            <w:vMerge w:val="continue"/>
            <w:tcBorders>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918" w:type="dxa"/>
            <w:gridSpan w:val="6"/>
            <w:tcBorders>
              <w:top w:val="single" w:color="FFFFFF" w:sz="8" w:space="0"/>
              <w:left w:val="single" w:color="FFFFFF" w:sz="8" w:space="0"/>
              <w:bottom w:val="single" w:color="FFFFFF" w:sz="8" w:space="0"/>
              <w:right w:val="single" w:color="FFFFFF" w:sz="8" w:space="0"/>
            </w:tcBorders>
            <w:shd w:val="clear" w:color="auto" w:fill="DDDEEF"/>
            <w:tcMar>
              <w:top w:w="15" w:type="dxa"/>
              <w:left w:w="43" w:type="dxa"/>
              <w:bottom w:w="0" w:type="dxa"/>
              <w:right w:w="43" w:type="dxa"/>
            </w:tcMar>
            <w:vAlign w:val="center"/>
          </w:tcPr>
          <w:p>
            <w:pP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院校举办方（单选）：公办院校（）</w:t>
            </w:r>
          </w:p>
          <w:p>
            <w:pP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省属公办（）   地市属公办（√）   </w:t>
            </w:r>
          </w:p>
          <w:p>
            <w:pP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县区属公办（） 国有企业公办（）</w:t>
            </w:r>
          </w:p>
          <w:p>
            <w:pP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民办院校（）</w:t>
            </w:r>
          </w:p>
        </w:tc>
        <w:tc>
          <w:tcPr>
            <w:tcW w:w="848" w:type="dxa"/>
            <w:vMerge w:val="continue"/>
            <w:tcBorders>
              <w:left w:val="single" w:color="FFFFFF" w:sz="8" w:space="0"/>
              <w:bottom w:val="single" w:color="FFFFFF" w:sz="8" w:space="0"/>
              <w:right w:val="single" w:color="FFFFFF" w:sz="8" w:space="0"/>
            </w:tcBorders>
            <w:shd w:val="clear" w:color="auto" w:fill="EAEFF7"/>
            <w:tcMar>
              <w:top w:w="15" w:type="dxa"/>
              <w:left w:w="43" w:type="dxa"/>
              <w:bottom w:w="0" w:type="dxa"/>
              <w:right w:w="43" w:type="dxa"/>
            </w:tcMar>
          </w:tcPr>
          <w:p>
            <w:pPr>
              <w:rPr>
                <w:rFonts w:ascii="Calibri" w:hAnsi="Calibri" w:eastAsia="仿宋" w:cs="Calibri"/>
                <w:color w:val="2E75B6" w:themeColor="accent1" w:themeShade="BF"/>
                <w:sz w:val="24"/>
                <w:szCs w:val="24"/>
              </w:rPr>
            </w:pPr>
          </w:p>
        </w:tc>
      </w:tr>
    </w:tbl>
    <w:p>
      <w:pPr>
        <w:spacing w:after="156" w:afterLines="50"/>
        <w:rPr>
          <w:rFonts w:ascii="黑体" w:hAnsi="黑体" w:eastAsia="黑体"/>
          <w:b/>
          <w:sz w:val="24"/>
          <w:szCs w:val="24"/>
          <w:shd w:val="clear" w:color="auto" w:fill="C00000"/>
        </w:rPr>
      </w:pPr>
    </w:p>
    <w:p>
      <w:pPr>
        <w:spacing w:after="156" w:afterLines="50"/>
        <w:rPr>
          <w:rFonts w:ascii="黑体" w:hAnsi="黑体" w:eastAsia="黑体"/>
          <w:sz w:val="24"/>
          <w:szCs w:val="24"/>
          <w:u w:color="C00000"/>
        </w:rPr>
      </w:pPr>
      <w:r>
        <w:rPr>
          <w:rFonts w:ascii="黑体" w:hAnsi="黑体" w:eastAsia="黑体"/>
          <w:b/>
          <w:sz w:val="24"/>
          <w:szCs w:val="24"/>
        </w:rPr>
        <mc:AlternateContent>
          <mc:Choice Requires="wps">
            <w:drawing>
              <wp:anchor distT="0" distB="0" distL="114300" distR="114300" simplePos="0" relativeHeight="251670528" behindDoc="0" locked="0" layoutInCell="1" allowOverlap="1">
                <wp:simplePos x="0" y="0"/>
                <wp:positionH relativeFrom="column">
                  <wp:posOffset>387350</wp:posOffset>
                </wp:positionH>
                <wp:positionV relativeFrom="paragraph">
                  <wp:posOffset>184150</wp:posOffset>
                </wp:positionV>
                <wp:extent cx="2139950" cy="0"/>
                <wp:effectExtent l="0" t="0" r="31750" b="19050"/>
                <wp:wrapNone/>
                <wp:docPr id="20" name="直接连接符 20"/>
                <wp:cNvGraphicFramePr/>
                <a:graphic xmlns:a="http://schemas.openxmlformats.org/drawingml/2006/main">
                  <a:graphicData uri="http://schemas.microsoft.com/office/word/2010/wordprocessingShape">
                    <wps:wsp>
                      <wps:cNvCnPr/>
                      <wps:spPr>
                        <a:xfrm>
                          <a:off x="0" y="0"/>
                          <a:ext cx="2139950"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0.5pt;margin-top:14.5pt;height:0pt;width:168.5pt;z-index:251670528;mso-width-relative:page;mso-height-relative:page;" filled="f" stroked="t" coordsize="21600,21600" o:gfxdata="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IryCgrVAAAACAEAAA8AAAAAAAAAAQAgAAAAIgAAAGRycy9kb3du&#10;cmV2LnhtbFBLAQIUABQAAAAIAIdO4kC0GBZmyQEAAGYDAAAOAAAAAAAAAAEAIAAAACQBAABkcnMv&#10;ZTJvRG9jLnhtbFBLBQYAAAAABgAGAFkBAABfBQAAAAA=&#10;">
                <v:fill on="f" focussize="0,0"/>
                <v:stroke weight="1pt" color="#C00000 [3204]" miterlimit="8" joinstyle="miter"/>
                <v:imagedata o:title=""/>
                <o:lock v:ext="edit" aspectratio="f"/>
              </v:line>
            </w:pict>
          </mc:Fallback>
        </mc:AlternateContent>
      </w:r>
      <w:r>
        <w:rPr>
          <w:rFonts w:ascii="黑体" w:hAnsi="黑体" w:eastAsia="黑体"/>
          <w:b/>
          <w:sz w:val="24"/>
          <w:szCs w:val="24"/>
          <w:shd w:val="clear" w:color="auto" w:fill="C00000"/>
        </w:rPr>
        <w:t xml:space="preserve"> 表6 </w:t>
      </w:r>
      <w:r>
        <w:rPr>
          <w:rFonts w:ascii="仿宋" w:hAnsi="仿宋" w:eastAsia="仿宋"/>
          <w:color w:val="2E75B6" w:themeColor="accent1" w:themeShade="BF"/>
          <w:sz w:val="32"/>
          <w:szCs w:val="32"/>
          <w:u w:color="C00000"/>
        </w:rPr>
        <w:t xml:space="preserve"> </w:t>
      </w:r>
      <w:r>
        <w:rPr>
          <w:rFonts w:ascii="黑体" w:hAnsi="黑体" w:eastAsia="黑体"/>
          <w:sz w:val="24"/>
          <w:szCs w:val="24"/>
          <w:u w:color="C00000"/>
        </w:rPr>
        <w:t>通辽职业学院</w:t>
      </w:r>
      <w:r>
        <w:rPr>
          <w:rFonts w:hint="eastAsia" w:ascii="黑体" w:hAnsi="黑体" w:eastAsia="黑体"/>
          <w:sz w:val="24"/>
          <w:szCs w:val="24"/>
          <w:u w:color="C00000"/>
        </w:rPr>
        <w:t>“落实政策表”</w:t>
      </w:r>
    </w:p>
    <w:tbl>
      <w:tblPr>
        <w:tblStyle w:val="11"/>
        <w:tblW w:w="8456" w:type="dxa"/>
        <w:tblInd w:w="0" w:type="dxa"/>
        <w:tblLayout w:type="fixed"/>
        <w:tblCellMar>
          <w:top w:w="0" w:type="dxa"/>
          <w:left w:w="0" w:type="dxa"/>
          <w:bottom w:w="0" w:type="dxa"/>
          <w:right w:w="0" w:type="dxa"/>
        </w:tblCellMar>
      </w:tblPr>
      <w:tblGrid>
        <w:gridCol w:w="927"/>
        <w:gridCol w:w="772"/>
        <w:gridCol w:w="533"/>
        <w:gridCol w:w="843"/>
        <w:gridCol w:w="2623"/>
        <w:gridCol w:w="717"/>
        <w:gridCol w:w="1090"/>
        <w:gridCol w:w="951"/>
      </w:tblGrid>
      <w:tr>
        <w:tblPrEx>
          <w:tblLayout w:type="fixed"/>
          <w:tblCellMar>
            <w:top w:w="0" w:type="dxa"/>
            <w:left w:w="0" w:type="dxa"/>
            <w:bottom w:w="0" w:type="dxa"/>
            <w:right w:w="0" w:type="dxa"/>
          </w:tblCellMar>
        </w:tblPrEx>
        <w:trPr>
          <w:trHeight w:val="825" w:hRule="atLeast"/>
        </w:trPr>
        <w:tc>
          <w:tcPr>
            <w:tcW w:w="927"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代码</w:t>
            </w:r>
          </w:p>
        </w:tc>
        <w:tc>
          <w:tcPr>
            <w:tcW w:w="772"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院校</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名称</w:t>
            </w:r>
          </w:p>
        </w:tc>
        <w:tc>
          <w:tcPr>
            <w:tcW w:w="3999" w:type="dxa"/>
            <w:gridSpan w:val="3"/>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jc w:val="cente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指标</w:t>
            </w:r>
          </w:p>
        </w:tc>
        <w:tc>
          <w:tcPr>
            <w:tcW w:w="717"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单位</w:t>
            </w:r>
          </w:p>
        </w:tc>
        <w:tc>
          <w:tcPr>
            <w:tcW w:w="1090"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2018年</w:t>
            </w:r>
          </w:p>
        </w:tc>
        <w:tc>
          <w:tcPr>
            <w:tcW w:w="951" w:type="dxa"/>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黑体" w:hAnsi="黑体" w:eastAsia="黑体"/>
                <w:color w:val="FFFFFF" w:themeColor="background1"/>
                <w:sz w:val="24"/>
                <w:szCs w:val="24"/>
                <w14:textFill>
                  <w14:solidFill>
                    <w14:schemeClr w14:val="bg1"/>
                  </w14:solidFill>
                </w14:textFill>
              </w:rPr>
              <w:t>2019年</w:t>
            </w:r>
          </w:p>
        </w:tc>
      </w:tr>
      <w:tr>
        <w:tblPrEx>
          <w:tblLayout w:type="fixed"/>
          <w:tblCellMar>
            <w:top w:w="0" w:type="dxa"/>
            <w:left w:w="0" w:type="dxa"/>
            <w:bottom w:w="0" w:type="dxa"/>
            <w:right w:w="0" w:type="dxa"/>
          </w:tblCellMar>
        </w:tblPrEx>
        <w:trPr>
          <w:trHeight w:val="567" w:hRule="atLeast"/>
        </w:trPr>
        <w:tc>
          <w:tcPr>
            <w:tcW w:w="927" w:type="dxa"/>
            <w:vMerge w:val="restart"/>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olor w:val="FFFFFF" w:themeColor="background1"/>
                <w:sz w:val="24"/>
                <w:szCs w:val="24"/>
                <w14:textFill>
                  <w14:solidFill>
                    <w14:schemeClr w14:val="bg1"/>
                  </w14:solidFill>
                </w14:textFill>
              </w:rPr>
            </w:pPr>
            <w:r>
              <w:rPr>
                <w:rFonts w:ascii="Calibri" w:hAnsi="Calibri" w:eastAsia="黑体" w:cs="Calibri"/>
                <w:color w:val="FFFFFF" w:themeColor="background1"/>
                <w:sz w:val="24"/>
                <w:szCs w:val="24"/>
                <w14:textFill>
                  <w14:solidFill>
                    <w14:schemeClr w14:val="bg1"/>
                  </w14:solidFill>
                </w14:textFill>
              </w:rPr>
              <w:t> </w:t>
            </w:r>
            <w:r>
              <w:rPr>
                <w:rFonts w:ascii="黑体" w:hAnsi="黑体" w:eastAsia="黑体" w:cs="Calibri"/>
                <w:color w:val="FFFFFF" w:themeColor="background1"/>
                <w:sz w:val="24"/>
                <w:szCs w:val="24"/>
                <w14:textFill>
                  <w14:solidFill>
                    <w14:schemeClr w14:val="bg1"/>
                  </w14:solidFill>
                </w14:textFill>
              </w:rPr>
              <w:t>13740</w:t>
            </w:r>
          </w:p>
        </w:tc>
        <w:tc>
          <w:tcPr>
            <w:tcW w:w="772" w:type="dxa"/>
            <w:vMerge w:val="restart"/>
            <w:tcBorders>
              <w:top w:val="single" w:color="FFFFFF" w:sz="8" w:space="0"/>
              <w:left w:val="single" w:color="FFFFFF" w:sz="8" w:space="0"/>
              <w:bottom w:val="single" w:color="FFFFFF" w:sz="8" w:space="0"/>
              <w:right w:val="single" w:color="FFFFFF" w:sz="8" w:space="0"/>
            </w:tcBorders>
            <w:shd w:val="clear" w:color="auto" w:fill="5B9BD5"/>
            <w:tcMar>
              <w:top w:w="15" w:type="dxa"/>
              <w:left w:w="65" w:type="dxa"/>
              <w:bottom w:w="0" w:type="dxa"/>
              <w:right w:w="65" w:type="dxa"/>
            </w:tcMar>
            <w:vAlign w:val="center"/>
          </w:tcPr>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通辽</w:t>
            </w:r>
          </w:p>
          <w:p>
            <w:pPr>
              <w:rPr>
                <w:rFonts w:ascii="黑体" w:hAnsi="黑体" w:eastAsia="黑体" w:cs="Calibri"/>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职业</w:t>
            </w:r>
          </w:p>
          <w:p>
            <w:pPr>
              <w:rPr>
                <w:rFonts w:ascii="黑体" w:hAnsi="黑体" w:eastAsia="黑体"/>
                <w:color w:val="FFFFFF" w:themeColor="background1"/>
                <w:sz w:val="24"/>
                <w:szCs w:val="24"/>
                <w14:textFill>
                  <w14:solidFill>
                    <w14:schemeClr w14:val="bg1"/>
                  </w14:solidFill>
                </w14:textFill>
              </w:rPr>
            </w:pPr>
            <w:r>
              <w:rPr>
                <w:rFonts w:ascii="黑体" w:hAnsi="黑体" w:eastAsia="黑体" w:cs="Calibri"/>
                <w:color w:val="FFFFFF" w:themeColor="background1"/>
                <w:sz w:val="24"/>
                <w:szCs w:val="24"/>
                <w14:textFill>
                  <w14:solidFill>
                    <w14:schemeClr w14:val="bg1"/>
                  </w14:solidFill>
                </w14:textFill>
              </w:rPr>
              <w:t>学院</w:t>
            </w:r>
            <w:r>
              <w:rPr>
                <w:rFonts w:ascii="Calibri" w:hAnsi="Calibri" w:eastAsia="黑体" w:cs="Calibri"/>
                <w:color w:val="FFFFFF" w:themeColor="background1"/>
                <w:sz w:val="24"/>
                <w:szCs w:val="24"/>
                <w14:textFill>
                  <w14:solidFill>
                    <w14:schemeClr w14:val="bg1"/>
                  </w14:solidFill>
                </w14:textFill>
              </w:rPr>
              <w:t> </w:t>
            </w: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1</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年生均财政拨款水平</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7054</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6132</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其中：年生均财政专项经费</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6</w:t>
            </w:r>
            <w:r>
              <w:rPr>
                <w:rFonts w:ascii="黑体" w:hAnsi="黑体" w:eastAsia="黑体"/>
                <w:sz w:val="24"/>
                <w:szCs w:val="24"/>
              </w:rPr>
              <w:t>16</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904</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2</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教职员工额定编制数</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75</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75</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left w:val="single" w:color="FFFFFF" w:sz="8" w:space="0"/>
              <w:right w:val="single" w:color="FFFFFF" w:sz="8" w:space="0"/>
            </w:tcBorders>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在岗教职员工总数</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8</w:t>
            </w:r>
            <w:r>
              <w:rPr>
                <w:rFonts w:ascii="黑体" w:hAnsi="黑体" w:eastAsia="黑体"/>
                <w:sz w:val="24"/>
                <w:szCs w:val="24"/>
              </w:rPr>
              <w:t>02</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8</w:t>
            </w:r>
            <w:r>
              <w:rPr>
                <w:rFonts w:ascii="黑体" w:hAnsi="黑体" w:eastAsia="黑体"/>
                <w:sz w:val="24"/>
                <w:szCs w:val="24"/>
              </w:rPr>
              <w:t>87</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left w:val="single" w:color="FFFFFF" w:sz="8" w:space="0"/>
              <w:right w:val="single" w:color="FFFFFF" w:sz="8" w:space="0"/>
            </w:tcBorders>
            <w:vAlign w:val="center"/>
          </w:tcPr>
          <w:p>
            <w:pPr>
              <w:jc w:val="center"/>
              <w:rPr>
                <w:rFonts w:ascii="仿宋" w:hAnsi="仿宋" w:eastAsia="仿宋"/>
                <w:sz w:val="24"/>
                <w:szCs w:val="24"/>
              </w:rPr>
            </w:pPr>
          </w:p>
        </w:tc>
        <w:tc>
          <w:tcPr>
            <w:tcW w:w="843" w:type="dxa"/>
            <w:vMerge w:val="restart"/>
            <w:tcBorders>
              <w:top w:val="single" w:color="FFFFFF" w:sz="8" w:space="0"/>
              <w:left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 xml:space="preserve">其中： </w:t>
            </w:r>
          </w:p>
        </w:tc>
        <w:tc>
          <w:tcPr>
            <w:tcW w:w="2623" w:type="dxa"/>
            <w:tcBorders>
              <w:top w:val="single" w:color="FFFFFF" w:sz="8" w:space="0"/>
              <w:left w:val="single" w:color="FFFFFF" w:sz="8" w:space="0"/>
              <w:bottom w:val="single" w:color="FFFFFF" w:sz="8" w:space="0"/>
              <w:right w:val="single" w:color="FFFFFF" w:sz="8" w:space="0"/>
            </w:tcBorders>
            <w:shd w:val="clear" w:color="auto" w:fill="EAEFF7"/>
            <w:vAlign w:val="center"/>
          </w:tcPr>
          <w:p>
            <w:pPr>
              <w:rPr>
                <w:rFonts w:ascii="仿宋" w:hAnsi="仿宋" w:eastAsia="仿宋"/>
                <w:sz w:val="24"/>
                <w:szCs w:val="24"/>
              </w:rPr>
            </w:pPr>
            <w:r>
              <w:rPr>
                <w:rFonts w:ascii="仿宋" w:hAnsi="仿宋" w:eastAsia="仿宋"/>
                <w:sz w:val="24"/>
                <w:szCs w:val="24"/>
              </w:rPr>
              <w:t>专任教师总数</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35</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4</w:t>
            </w:r>
            <w:r>
              <w:rPr>
                <w:rFonts w:ascii="黑体" w:hAnsi="黑体" w:eastAsia="黑体"/>
                <w:sz w:val="24"/>
                <w:szCs w:val="24"/>
              </w:rPr>
              <w:t>29</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left w:val="single" w:color="FFFFFF" w:sz="8" w:space="0"/>
              <w:bottom w:val="single" w:color="FFFFFF" w:sz="8" w:space="0"/>
              <w:right w:val="single" w:color="FFFFFF" w:sz="8" w:space="0"/>
            </w:tcBorders>
            <w:vAlign w:val="center"/>
          </w:tcPr>
          <w:p>
            <w:pPr>
              <w:jc w:val="center"/>
              <w:rPr>
                <w:rFonts w:ascii="仿宋" w:hAnsi="仿宋" w:eastAsia="仿宋"/>
                <w:sz w:val="24"/>
                <w:szCs w:val="24"/>
              </w:rPr>
            </w:pPr>
          </w:p>
        </w:tc>
        <w:tc>
          <w:tcPr>
            <w:tcW w:w="843" w:type="dxa"/>
            <w:vMerge w:val="continue"/>
            <w:tcBorders>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p>
        </w:tc>
        <w:tc>
          <w:tcPr>
            <w:tcW w:w="2623" w:type="dxa"/>
            <w:tcBorders>
              <w:top w:val="single" w:color="FFFFFF" w:sz="8" w:space="0"/>
              <w:left w:val="single" w:color="FFFFFF" w:sz="8" w:space="0"/>
              <w:bottom w:val="single" w:color="FFFFFF" w:sz="8" w:space="0"/>
              <w:right w:val="single" w:color="FFFFFF" w:sz="8" w:space="0"/>
            </w:tcBorders>
            <w:shd w:val="clear" w:color="auto" w:fill="EAEFF7"/>
            <w:vAlign w:val="center"/>
          </w:tcPr>
          <w:p>
            <w:pPr>
              <w:rPr>
                <w:rFonts w:ascii="仿宋" w:hAnsi="仿宋" w:eastAsia="仿宋"/>
                <w:sz w:val="24"/>
                <w:szCs w:val="24"/>
              </w:rPr>
            </w:pPr>
            <w:r>
              <w:rPr>
                <w:rFonts w:ascii="仿宋" w:hAnsi="仿宋" w:eastAsia="仿宋"/>
                <w:sz w:val="24"/>
                <w:szCs w:val="24"/>
              </w:rPr>
              <w:t>专任教师年培训量</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人日</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655</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314</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3</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企业提供的校内实践教学设备值</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万元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2</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28</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hint="eastAsia" w:ascii="仿宋" w:hAnsi="仿宋" w:eastAsia="仿宋"/>
                <w:sz w:val="24"/>
                <w:szCs w:val="24"/>
              </w:rPr>
              <w:t>4</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年生均校外实训基地实习时间</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人时</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324</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515</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5</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生均企业实习经费补贴</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其中：生均财政专项补贴</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6</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生均企业实习责任保险补贴</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3</w:t>
            </w:r>
            <w:r>
              <w:rPr>
                <w:rFonts w:ascii="黑体" w:hAnsi="黑体" w:eastAsia="黑体"/>
                <w:sz w:val="24"/>
                <w:szCs w:val="24"/>
              </w:rPr>
              <w:t>7</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6</w:t>
            </w:r>
            <w:r>
              <w:rPr>
                <w:rFonts w:ascii="黑体" w:hAnsi="黑体" w:eastAsia="黑体"/>
                <w:sz w:val="24"/>
                <w:szCs w:val="24"/>
              </w:rPr>
              <w:t>5</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vAlign w:val="center"/>
          </w:tcPr>
          <w:p>
            <w:pPr>
              <w:jc w:val="cente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其中：生均财政专项补贴</w:t>
            </w:r>
          </w:p>
        </w:tc>
        <w:tc>
          <w:tcPr>
            <w:tcW w:w="717"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EAEFF7"/>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restart"/>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仿宋" w:hAnsi="仿宋" w:eastAsia="仿宋"/>
                <w:sz w:val="24"/>
                <w:szCs w:val="24"/>
              </w:rPr>
            </w:pPr>
            <w:r>
              <w:rPr>
                <w:rFonts w:ascii="仿宋" w:hAnsi="仿宋" w:eastAsia="仿宋"/>
                <w:sz w:val="24"/>
                <w:szCs w:val="24"/>
              </w:rPr>
              <w:t>7</w:t>
            </w: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企业兼职教师年课时总量</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课时</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9</w:t>
            </w:r>
            <w:r>
              <w:rPr>
                <w:rFonts w:ascii="黑体" w:hAnsi="黑体" w:eastAsia="黑体"/>
                <w:sz w:val="24"/>
                <w:szCs w:val="24"/>
              </w:rPr>
              <w:t>832</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1</w:t>
            </w:r>
            <w:r>
              <w:rPr>
                <w:rFonts w:ascii="黑体" w:hAnsi="黑体" w:eastAsia="黑体"/>
                <w:sz w:val="24"/>
                <w:szCs w:val="24"/>
              </w:rPr>
              <w:t>192</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年支付企业兼职教师课酬</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2</w:t>
            </w:r>
            <w:r>
              <w:rPr>
                <w:rFonts w:ascii="黑体" w:hAnsi="黑体" w:eastAsia="黑体"/>
                <w:sz w:val="24"/>
                <w:szCs w:val="24"/>
              </w:rPr>
              <w:t>43330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7</w:t>
            </w:r>
            <w:r>
              <w:rPr>
                <w:rFonts w:ascii="黑体" w:hAnsi="黑体" w:eastAsia="黑体"/>
                <w:sz w:val="24"/>
                <w:szCs w:val="24"/>
              </w:rPr>
              <w:t>6650</w:t>
            </w:r>
          </w:p>
        </w:tc>
      </w:tr>
      <w:tr>
        <w:tblPrEx>
          <w:tblLayout w:type="fixed"/>
          <w:tblCellMar>
            <w:top w:w="0" w:type="dxa"/>
            <w:left w:w="0" w:type="dxa"/>
            <w:bottom w:w="0" w:type="dxa"/>
            <w:right w:w="0" w:type="dxa"/>
          </w:tblCellMar>
        </w:tblPrEx>
        <w:trPr>
          <w:trHeight w:val="567" w:hRule="atLeast"/>
        </w:trPr>
        <w:tc>
          <w:tcPr>
            <w:tcW w:w="927"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772" w:type="dxa"/>
            <w:vMerge w:val="continue"/>
            <w:tcBorders>
              <w:top w:val="single" w:color="FFFFFF" w:sz="8" w:space="0"/>
              <w:left w:val="single" w:color="FFFFFF" w:sz="8" w:space="0"/>
              <w:bottom w:val="single" w:color="FFFFFF" w:sz="8" w:space="0"/>
              <w:right w:val="single" w:color="FFFFFF" w:sz="8" w:space="0"/>
            </w:tcBorders>
            <w:shd w:val="clear" w:color="auto" w:fill="5B9BD5"/>
            <w:vAlign w:val="center"/>
          </w:tcPr>
          <w:p>
            <w:pPr>
              <w:rPr>
                <w:rFonts w:ascii="仿宋" w:hAnsi="仿宋" w:eastAsia="仿宋"/>
                <w:color w:val="2E75B6" w:themeColor="accent1" w:themeShade="BF"/>
                <w:sz w:val="24"/>
                <w:szCs w:val="24"/>
              </w:rPr>
            </w:pPr>
          </w:p>
        </w:tc>
        <w:tc>
          <w:tcPr>
            <w:tcW w:w="533" w:type="dxa"/>
            <w:vMerge w:val="continue"/>
            <w:tcBorders>
              <w:top w:val="single" w:color="FFFFFF" w:sz="8" w:space="0"/>
              <w:left w:val="single" w:color="FFFFFF" w:sz="8" w:space="0"/>
              <w:bottom w:val="single" w:color="FFFFFF" w:sz="8" w:space="0"/>
              <w:right w:val="single" w:color="FFFFFF" w:sz="8" w:space="0"/>
            </w:tcBorders>
            <w:shd w:val="clear" w:color="auto" w:fill="DDDEEF"/>
            <w:vAlign w:val="center"/>
          </w:tcPr>
          <w:p>
            <w:pPr>
              <w:rPr>
                <w:rFonts w:ascii="仿宋" w:hAnsi="仿宋" w:eastAsia="仿宋"/>
                <w:sz w:val="24"/>
                <w:szCs w:val="24"/>
              </w:rPr>
            </w:pPr>
          </w:p>
        </w:tc>
        <w:tc>
          <w:tcPr>
            <w:tcW w:w="3466" w:type="dxa"/>
            <w:gridSpan w:val="2"/>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其中：财政专项补贴</w:t>
            </w:r>
          </w:p>
        </w:tc>
        <w:tc>
          <w:tcPr>
            <w:tcW w:w="717"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rPr>
                <w:rFonts w:ascii="仿宋" w:hAnsi="仿宋" w:eastAsia="仿宋"/>
                <w:sz w:val="24"/>
                <w:szCs w:val="24"/>
              </w:rPr>
            </w:pPr>
            <w:r>
              <w:rPr>
                <w:rFonts w:ascii="仿宋" w:hAnsi="仿宋" w:eastAsia="仿宋"/>
                <w:sz w:val="24"/>
                <w:szCs w:val="24"/>
              </w:rPr>
              <w:t>元</w:t>
            </w:r>
          </w:p>
        </w:tc>
        <w:tc>
          <w:tcPr>
            <w:tcW w:w="1090"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c>
          <w:tcPr>
            <w:tcW w:w="951" w:type="dxa"/>
            <w:tcBorders>
              <w:top w:val="single" w:color="FFFFFF" w:sz="8" w:space="0"/>
              <w:left w:val="single" w:color="FFFFFF" w:sz="8" w:space="0"/>
              <w:bottom w:val="single" w:color="FFFFFF" w:sz="8" w:space="0"/>
              <w:right w:val="single" w:color="FFFFFF" w:sz="8" w:space="0"/>
            </w:tcBorders>
            <w:shd w:val="clear" w:color="auto" w:fill="DDDEEF"/>
            <w:tcMar>
              <w:top w:w="15" w:type="dxa"/>
              <w:left w:w="65" w:type="dxa"/>
              <w:bottom w:w="0" w:type="dxa"/>
              <w:right w:w="65" w:type="dxa"/>
            </w:tcMar>
            <w:vAlign w:val="center"/>
          </w:tcPr>
          <w:p>
            <w:pPr>
              <w:jc w:val="center"/>
              <w:rPr>
                <w:rFonts w:ascii="黑体" w:hAnsi="黑体" w:eastAsia="黑体"/>
                <w:sz w:val="24"/>
                <w:szCs w:val="24"/>
              </w:rPr>
            </w:pPr>
            <w:r>
              <w:rPr>
                <w:rFonts w:hint="eastAsia" w:ascii="黑体" w:hAnsi="黑体" w:eastAsia="黑体"/>
                <w:sz w:val="24"/>
                <w:szCs w:val="24"/>
              </w:rPr>
              <w:t>0</w:t>
            </w:r>
          </w:p>
        </w:tc>
      </w:tr>
    </w:tbl>
    <w:p>
      <w:pPr>
        <w:rPr>
          <w:rFonts w:ascii="仿宋" w:hAnsi="仿宋" w:eastAsia="仿宋"/>
          <w:color w:val="2E75B6" w:themeColor="accent1" w:themeShade="BF"/>
          <w:sz w:val="24"/>
          <w:szCs w:val="24"/>
        </w:rPr>
      </w:pPr>
    </w:p>
    <w:p>
      <w:pPr>
        <w:rPr>
          <w:rFonts w:ascii="仿宋" w:hAnsi="仿宋" w:eastAsia="仿宋"/>
          <w:sz w:val="32"/>
          <w:szCs w:val="32"/>
        </w:rPr>
        <w:sectPr>
          <w:headerReference r:id="rId11" w:type="default"/>
          <w:footerReference r:id="rId12" w:type="default"/>
          <w:footerReference r:id="rId13" w:type="even"/>
          <w:pgSz w:w="11906" w:h="16838"/>
          <w:pgMar w:top="1440" w:right="1800" w:bottom="1440" w:left="1800" w:header="851" w:footer="992" w:gutter="0"/>
          <w:pgNumType w:start="1"/>
          <w:cols w:space="425" w:num="1"/>
          <w:docGrid w:type="lines" w:linePitch="312" w:charSpace="0"/>
        </w:sectPr>
      </w:pPr>
    </w:p>
    <w:p>
      <w:pPr>
        <w:rPr>
          <w:rFonts w:ascii="仿宋" w:hAnsi="仿宋" w:eastAsia="仿宋"/>
          <w:sz w:val="32"/>
          <w:szCs w:val="32"/>
        </w:rPr>
      </w:pPr>
      <w:r>
        <w:pict>
          <v:shape id="_x0000_s1030" o:spid="_x0000_s1030" o:spt="75" type="#_x0000_t75" style="position:absolute;left:0pt;margin-left:-88.95pt;margin-top:-71.95pt;height:839.65pt;width:591.75pt;z-index:251659264;mso-width-relative:page;mso-height-relative:page;" filled="f" o:preferrelative="t" stroked="f" coordsize="21600,21600">
            <v:path/>
            <v:fill on="f" focussize="0,0"/>
            <v:stroke on="f" joinstyle="miter"/>
            <v:imagedata r:id="rId50" o:title="报告底面封皮"/>
            <o:lock v:ext="edit" aspectratio="f"/>
          </v:shape>
        </w:pict>
      </w:r>
    </w:p>
    <w:sectPr>
      <w:headerReference r:id="rId14" w:type="default"/>
      <w:footerReference r:id="rId15" w:type="default"/>
      <w:footerReference r:id="rId16"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方正小标宋简体">
    <w:panose1 w:val="03000509000000000000"/>
    <w:charset w:val="86"/>
    <w:family w:val="script"/>
    <w:pitch w:val="default"/>
    <w:sig w:usb0="00000001" w:usb1="080E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CF3C50" w:usb2="00000016" w:usb3="00000000" w:csb0="0004001F" w:csb1="00000000"/>
  </w:font>
  <w:font w:name="楷体_GB2312">
    <w:panose1 w:val="02010609030101010101"/>
    <w:charset w:val="86"/>
    <w:family w:val="modern"/>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ascii="方正小标宋简体" w:hAnsi="方正小标宋简体" w:eastAsia="方正小标宋简体" w:cs="方正小标宋简体"/>
                              <w:color w:val="2E75B6" w:themeColor="accent1" w:themeShade="BF"/>
                              <w:sz w:val="28"/>
                              <w:szCs w:val="28"/>
                            </w:rPr>
                          </w:pPr>
                          <w:r>
                            <w:rPr>
                              <w:rFonts w:hint="eastAsia" w:ascii="方正小标宋简体" w:hAnsi="方正小标宋简体" w:eastAsia="方正小标宋简体" w:cs="方正小标宋简体"/>
                              <w:color w:val="2E75B6" w:themeColor="accent1" w:themeShade="BF"/>
                              <w:sz w:val="28"/>
                              <w:szCs w:val="28"/>
                            </w:rPr>
                            <w:fldChar w:fldCharType="begin"/>
                          </w:r>
                          <w:r>
                            <w:rPr>
                              <w:rFonts w:hint="eastAsia" w:ascii="方正小标宋简体" w:hAnsi="方正小标宋简体" w:eastAsia="方正小标宋简体" w:cs="方正小标宋简体"/>
                              <w:color w:val="2E75B6" w:themeColor="accent1" w:themeShade="BF"/>
                              <w:sz w:val="28"/>
                              <w:szCs w:val="28"/>
                            </w:rPr>
                            <w:instrText xml:space="preserve"> PAGE  \* MERGEFORMAT </w:instrText>
                          </w:r>
                          <w:r>
                            <w:rPr>
                              <w:rFonts w:hint="eastAsia" w:ascii="方正小标宋简体" w:hAnsi="方正小标宋简体" w:eastAsia="方正小标宋简体" w:cs="方正小标宋简体"/>
                              <w:color w:val="2E75B6" w:themeColor="accent1" w:themeShade="BF"/>
                              <w:sz w:val="28"/>
                              <w:szCs w:val="28"/>
                            </w:rPr>
                            <w:fldChar w:fldCharType="separate"/>
                          </w:r>
                          <w:r>
                            <w:rPr>
                              <w:rFonts w:ascii="方正小标宋简体" w:hAnsi="方正小标宋简体" w:eastAsia="方正小标宋简体" w:cs="方正小标宋简体"/>
                              <w:color w:val="2E75B6" w:themeColor="accent1" w:themeShade="BF"/>
                              <w:sz w:val="28"/>
                              <w:szCs w:val="28"/>
                            </w:rPr>
                            <w:t>5</w:t>
                          </w:r>
                          <w:r>
                            <w:rPr>
                              <w:rFonts w:hint="eastAsia" w:ascii="方正小标宋简体" w:hAnsi="方正小标宋简体" w:eastAsia="方正小标宋简体" w:cs="方正小标宋简体"/>
                              <w:color w:val="2E75B6" w:themeColor="accent1" w:themeShade="BF"/>
                              <w:sz w:val="28"/>
                              <w:szCs w:val="28"/>
                            </w:rPr>
                            <w:fldChar w:fldCharType="end"/>
                          </w:r>
                          <w:r>
                            <w:rPr>
                              <w:rFonts w:hint="eastAsia" w:ascii="方正小标宋简体" w:hAnsi="方正小标宋简体" w:eastAsia="方正小标宋简体" w:cs="方正小标宋简体"/>
                              <w:color w:val="2E75B6" w:themeColor="accent1" w:themeShade="BF"/>
                              <w:sz w:val="28"/>
                              <w:szCs w:val="28"/>
                            </w:rPr>
                            <w:t xml:space="preserve"> |高等职业教育质量年度报告-2020</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tY+/MQAgAACQQAAA4AAABkcnMvZTJvRG9jLnhtbK1TzY7TMBC+I/EO&#10;lu80aYFV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D7WPvzEAIAAAkEAAAOAAAAAAAAAAEAIAAA&#10;AB8BAABkcnMvZTJvRG9jLnhtbFBLBQYAAAAABgAGAFkBAAChBQAAAAA=&#10;">
              <v:fill on="f" focussize="0,0"/>
              <v:stroke on="f" weight="0.5pt"/>
              <v:imagedata o:title=""/>
              <o:lock v:ext="edit" aspectratio="f"/>
              <v:textbox inset="0mm,0mm,0mm,0mm" style="mso-fit-shape-to-text:t;">
                <w:txbxContent>
                  <w:p>
                    <w:pPr>
                      <w:snapToGrid w:val="0"/>
                      <w:rPr>
                        <w:rFonts w:ascii="方正小标宋简体" w:hAnsi="方正小标宋简体" w:eastAsia="方正小标宋简体" w:cs="方正小标宋简体"/>
                        <w:color w:val="2E75B6" w:themeColor="accent1" w:themeShade="BF"/>
                        <w:sz w:val="28"/>
                        <w:szCs w:val="28"/>
                      </w:rPr>
                    </w:pPr>
                    <w:r>
                      <w:rPr>
                        <w:rFonts w:hint="eastAsia" w:ascii="方正小标宋简体" w:hAnsi="方正小标宋简体" w:eastAsia="方正小标宋简体" w:cs="方正小标宋简体"/>
                        <w:color w:val="2E75B6" w:themeColor="accent1" w:themeShade="BF"/>
                        <w:sz w:val="28"/>
                        <w:szCs w:val="28"/>
                      </w:rPr>
                      <w:fldChar w:fldCharType="begin"/>
                    </w:r>
                    <w:r>
                      <w:rPr>
                        <w:rFonts w:hint="eastAsia" w:ascii="方正小标宋简体" w:hAnsi="方正小标宋简体" w:eastAsia="方正小标宋简体" w:cs="方正小标宋简体"/>
                        <w:color w:val="2E75B6" w:themeColor="accent1" w:themeShade="BF"/>
                        <w:sz w:val="28"/>
                        <w:szCs w:val="28"/>
                      </w:rPr>
                      <w:instrText xml:space="preserve"> PAGE  \* MERGEFORMAT </w:instrText>
                    </w:r>
                    <w:r>
                      <w:rPr>
                        <w:rFonts w:hint="eastAsia" w:ascii="方正小标宋简体" w:hAnsi="方正小标宋简体" w:eastAsia="方正小标宋简体" w:cs="方正小标宋简体"/>
                        <w:color w:val="2E75B6" w:themeColor="accent1" w:themeShade="BF"/>
                        <w:sz w:val="28"/>
                        <w:szCs w:val="28"/>
                      </w:rPr>
                      <w:fldChar w:fldCharType="separate"/>
                    </w:r>
                    <w:r>
                      <w:rPr>
                        <w:rFonts w:ascii="方正小标宋简体" w:hAnsi="方正小标宋简体" w:eastAsia="方正小标宋简体" w:cs="方正小标宋简体"/>
                        <w:color w:val="2E75B6" w:themeColor="accent1" w:themeShade="BF"/>
                        <w:sz w:val="28"/>
                        <w:szCs w:val="28"/>
                      </w:rPr>
                      <w:t>5</w:t>
                    </w:r>
                    <w:r>
                      <w:rPr>
                        <w:rFonts w:hint="eastAsia" w:ascii="方正小标宋简体" w:hAnsi="方正小标宋简体" w:eastAsia="方正小标宋简体" w:cs="方正小标宋简体"/>
                        <w:color w:val="2E75B6" w:themeColor="accent1" w:themeShade="BF"/>
                        <w:sz w:val="28"/>
                        <w:szCs w:val="28"/>
                      </w:rPr>
                      <w:fldChar w:fldCharType="end"/>
                    </w:r>
                    <w:r>
                      <w:rPr>
                        <w:rFonts w:hint="eastAsia" w:ascii="方正小标宋简体" w:hAnsi="方正小标宋简体" w:eastAsia="方正小标宋简体" w:cs="方正小标宋简体"/>
                        <w:color w:val="2E75B6" w:themeColor="accent1" w:themeShade="BF"/>
                        <w:sz w:val="28"/>
                        <w:szCs w:val="28"/>
                      </w:rPr>
                      <w:t xml:space="preserve"> |高等职业教育质量年度报告-2020</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ascii="方正小标宋简体" w:hAnsi="方正小标宋简体" w:eastAsia="方正小标宋简体" w:cs="方正小标宋简体"/>
                              <w:color w:val="2E75B6" w:themeColor="accent1" w:themeShade="BF"/>
                              <w:sz w:val="28"/>
                              <w:szCs w:val="28"/>
                            </w:rPr>
                            <w:fldChar w:fldCharType="begin"/>
                          </w:r>
                          <w:r>
                            <w:rPr>
                              <w:rFonts w:hint="eastAsia" w:ascii="方正小标宋简体" w:hAnsi="方正小标宋简体" w:eastAsia="方正小标宋简体" w:cs="方正小标宋简体"/>
                              <w:color w:val="2E75B6" w:themeColor="accent1" w:themeShade="BF"/>
                              <w:sz w:val="28"/>
                              <w:szCs w:val="28"/>
                            </w:rPr>
                            <w:instrText xml:space="preserve"> PAGE  \* MERGEFORMAT </w:instrText>
                          </w:r>
                          <w:r>
                            <w:rPr>
                              <w:rFonts w:hint="eastAsia" w:ascii="方正小标宋简体" w:hAnsi="方正小标宋简体" w:eastAsia="方正小标宋简体" w:cs="方正小标宋简体"/>
                              <w:color w:val="2E75B6" w:themeColor="accent1" w:themeShade="BF"/>
                              <w:sz w:val="28"/>
                              <w:szCs w:val="28"/>
                            </w:rPr>
                            <w:fldChar w:fldCharType="separate"/>
                          </w:r>
                          <w:r>
                            <w:rPr>
                              <w:rFonts w:ascii="方正小标宋简体" w:hAnsi="方正小标宋简体" w:eastAsia="方正小标宋简体" w:cs="方正小标宋简体"/>
                              <w:color w:val="2E75B6" w:themeColor="accent1" w:themeShade="BF"/>
                              <w:sz w:val="28"/>
                              <w:szCs w:val="28"/>
                            </w:rPr>
                            <w:t>6</w:t>
                          </w:r>
                          <w:r>
                            <w:rPr>
                              <w:rFonts w:hint="eastAsia" w:ascii="方正小标宋简体" w:hAnsi="方正小标宋简体" w:eastAsia="方正小标宋简体" w:cs="方正小标宋简体"/>
                              <w:color w:val="2E75B6" w:themeColor="accent1" w:themeShade="BF"/>
                              <w:sz w:val="28"/>
                              <w:szCs w:val="28"/>
                            </w:rPr>
                            <w:fldChar w:fldCharType="end"/>
                          </w:r>
                          <w:r>
                            <w:rPr>
                              <w:rFonts w:hint="eastAsia" w:ascii="方正小标宋简体" w:hAnsi="方正小标宋简体" w:eastAsia="方正小标宋简体" w:cs="方正小标宋简体"/>
                              <w:color w:val="2E75B6" w:themeColor="accent1" w:themeShade="BF"/>
                              <w:sz w:val="28"/>
                              <w:szCs w:val="28"/>
                            </w:rPr>
                            <w:t xml:space="preserve"> |高等职业教育质量年度报告-2020</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zSVju0AAAAAUBAAAPAAAAAAAAAAEAIAAAACIA&#10;AABkcnMvZG93bnJldi54bWxQSwECFAAUAAAACACHTuJAU6cOVRECAAAJBAAADgAAAAAAAAABACAA&#10;AAAfAQAAZHJzL2Uyb0RvYy54bWxQSwUGAAAAAAYABgBZAQAAogUAAAAA&#10;">
              <v:fill on="f" focussize="0,0"/>
              <v:stroke on="f" weight="0.5pt"/>
              <v:imagedata o:title=""/>
              <o:lock v:ext="edit" aspectratio="f"/>
              <v:textbox inset="0mm,0mm,0mm,0mm" style="mso-fit-shape-to-text:t;">
                <w:txbxContent>
                  <w:p>
                    <w:pPr>
                      <w:snapToGrid w:val="0"/>
                      <w:rPr>
                        <w:sz w:val="18"/>
                      </w:rPr>
                    </w:pPr>
                    <w:r>
                      <w:rPr>
                        <w:rFonts w:hint="eastAsia" w:ascii="方正小标宋简体" w:hAnsi="方正小标宋简体" w:eastAsia="方正小标宋简体" w:cs="方正小标宋简体"/>
                        <w:color w:val="2E75B6" w:themeColor="accent1" w:themeShade="BF"/>
                        <w:sz w:val="28"/>
                        <w:szCs w:val="28"/>
                      </w:rPr>
                      <w:fldChar w:fldCharType="begin"/>
                    </w:r>
                    <w:r>
                      <w:rPr>
                        <w:rFonts w:hint="eastAsia" w:ascii="方正小标宋简体" w:hAnsi="方正小标宋简体" w:eastAsia="方正小标宋简体" w:cs="方正小标宋简体"/>
                        <w:color w:val="2E75B6" w:themeColor="accent1" w:themeShade="BF"/>
                        <w:sz w:val="28"/>
                        <w:szCs w:val="28"/>
                      </w:rPr>
                      <w:instrText xml:space="preserve"> PAGE  \* MERGEFORMAT </w:instrText>
                    </w:r>
                    <w:r>
                      <w:rPr>
                        <w:rFonts w:hint="eastAsia" w:ascii="方正小标宋简体" w:hAnsi="方正小标宋简体" w:eastAsia="方正小标宋简体" w:cs="方正小标宋简体"/>
                        <w:color w:val="2E75B6" w:themeColor="accent1" w:themeShade="BF"/>
                        <w:sz w:val="28"/>
                        <w:szCs w:val="28"/>
                      </w:rPr>
                      <w:fldChar w:fldCharType="separate"/>
                    </w:r>
                    <w:r>
                      <w:rPr>
                        <w:rFonts w:ascii="方正小标宋简体" w:hAnsi="方正小标宋简体" w:eastAsia="方正小标宋简体" w:cs="方正小标宋简体"/>
                        <w:color w:val="2E75B6" w:themeColor="accent1" w:themeShade="BF"/>
                        <w:sz w:val="28"/>
                        <w:szCs w:val="28"/>
                      </w:rPr>
                      <w:t>6</w:t>
                    </w:r>
                    <w:r>
                      <w:rPr>
                        <w:rFonts w:hint="eastAsia" w:ascii="方正小标宋简体" w:hAnsi="方正小标宋简体" w:eastAsia="方正小标宋简体" w:cs="方正小标宋简体"/>
                        <w:color w:val="2E75B6" w:themeColor="accent1" w:themeShade="BF"/>
                        <w:sz w:val="28"/>
                        <w:szCs w:val="28"/>
                      </w:rPr>
                      <w:fldChar w:fldCharType="end"/>
                    </w:r>
                    <w:r>
                      <w:rPr>
                        <w:rFonts w:hint="eastAsia" w:ascii="方正小标宋简体" w:hAnsi="方正小标宋简体" w:eastAsia="方正小标宋简体" w:cs="方正小标宋简体"/>
                        <w:color w:val="2E75B6" w:themeColor="accent1" w:themeShade="BF"/>
                        <w:sz w:val="28"/>
                        <w:szCs w:val="28"/>
                      </w:rPr>
                      <w:t xml:space="preserve"> |高等职业教育质量年度报告-2020</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right"/>
      <w:rPr>
        <w:b/>
        <w:bCs/>
        <w:color w:val="2E75B6" w:themeColor="accent1" w:themeShade="BF"/>
        <w:sz w:val="24"/>
        <w:szCs w:val="24"/>
      </w:rPr>
    </w:pPr>
    <w:r>
      <w:rPr>
        <w:rFonts w:hint="eastAsia"/>
        <w:b/>
        <w:bCs/>
        <w:color w:val="2E75B6" w:themeColor="accent1" w:themeShade="BF"/>
        <w:sz w:val="24"/>
        <w:szCs w:val="24"/>
      </w:rPr>
      <w:t>高等职业教育质量年度报告（2020）</w:t>
    </w:r>
  </w:p>
  <w:p>
    <w:pPr>
      <w:pStyle w:val="7"/>
      <w:pBdr>
        <w:bottom w:val="none" w:color="auto" w:sz="0" w:space="1"/>
      </w:pBdr>
      <w:jc w:val="right"/>
      <w:rPr>
        <w:b/>
        <w:bCs/>
        <w:color w:val="2E75B6" w:themeColor="accent1" w:themeShade="BF"/>
        <w:sz w:val="21"/>
        <w:szCs w:val="21"/>
      </w:rPr>
    </w:pPr>
    <w:r>
      <w:rPr>
        <w:rFonts w:hint="eastAsia"/>
        <w:b/>
        <w:bCs/>
        <w:color w:val="2E75B6" w:themeColor="accent1" w:themeShade="BF"/>
        <w:sz w:val="21"/>
        <w:szCs w:val="21"/>
      </w:rPr>
      <w:t>Higher Vocational Education Quality Of The Annual Report (2020)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r>
      <w:rPr>
        <w:rFonts w:hint="eastAsia"/>
      </w:rPr>
      <w:drawing>
        <wp:inline distT="0" distB="0" distL="114300" distR="114300">
          <wp:extent cx="1498600" cy="394970"/>
          <wp:effectExtent l="0" t="0" r="0" b="11430"/>
          <wp:docPr id="1" name="图片 1" descr="校徽校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校徽校名"/>
                  <pic:cNvPicPr>
                    <a:picLocks noChangeAspect="1"/>
                  </pic:cNvPicPr>
                </pic:nvPicPr>
                <pic:blipFill>
                  <a:blip r:embed="rId1"/>
                  <a:stretch>
                    <a:fillRect/>
                  </a:stretch>
                </pic:blipFill>
                <pic:spPr>
                  <a:xfrm>
                    <a:off x="0" y="0"/>
                    <a:ext cx="1498600" cy="394970"/>
                  </a:xfrm>
                  <a:prstGeom prst="rect">
                    <a:avLst/>
                  </a:prstGeom>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1"/>
      </w:pBdr>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FF7"/>
    <w:rsid w:val="00002882"/>
    <w:rsid w:val="00012006"/>
    <w:rsid w:val="00013A32"/>
    <w:rsid w:val="00021948"/>
    <w:rsid w:val="00025483"/>
    <w:rsid w:val="00025698"/>
    <w:rsid w:val="00025F8B"/>
    <w:rsid w:val="000268BB"/>
    <w:rsid w:val="000276C3"/>
    <w:rsid w:val="0004233E"/>
    <w:rsid w:val="000455B7"/>
    <w:rsid w:val="00046A6E"/>
    <w:rsid w:val="0004749E"/>
    <w:rsid w:val="000503EE"/>
    <w:rsid w:val="00053899"/>
    <w:rsid w:val="000542CD"/>
    <w:rsid w:val="00056E73"/>
    <w:rsid w:val="000574C2"/>
    <w:rsid w:val="000606FC"/>
    <w:rsid w:val="00062375"/>
    <w:rsid w:val="00062948"/>
    <w:rsid w:val="00065BB6"/>
    <w:rsid w:val="00066B54"/>
    <w:rsid w:val="0007631C"/>
    <w:rsid w:val="000803CB"/>
    <w:rsid w:val="000812BE"/>
    <w:rsid w:val="00083993"/>
    <w:rsid w:val="0008494F"/>
    <w:rsid w:val="0009154E"/>
    <w:rsid w:val="000930EC"/>
    <w:rsid w:val="0009346E"/>
    <w:rsid w:val="000949A6"/>
    <w:rsid w:val="0009695A"/>
    <w:rsid w:val="00096B32"/>
    <w:rsid w:val="000A1153"/>
    <w:rsid w:val="000A16B5"/>
    <w:rsid w:val="000A39F3"/>
    <w:rsid w:val="000A711C"/>
    <w:rsid w:val="000A78B0"/>
    <w:rsid w:val="000B0D04"/>
    <w:rsid w:val="000B22A6"/>
    <w:rsid w:val="000B2DF5"/>
    <w:rsid w:val="000B7FB4"/>
    <w:rsid w:val="000C49A5"/>
    <w:rsid w:val="000C6156"/>
    <w:rsid w:val="000C631C"/>
    <w:rsid w:val="000D0752"/>
    <w:rsid w:val="000D183E"/>
    <w:rsid w:val="000D2B21"/>
    <w:rsid w:val="000D3644"/>
    <w:rsid w:val="000D5EEF"/>
    <w:rsid w:val="000D6477"/>
    <w:rsid w:val="000E01AD"/>
    <w:rsid w:val="000E28CC"/>
    <w:rsid w:val="00100271"/>
    <w:rsid w:val="00100BE7"/>
    <w:rsid w:val="00112F96"/>
    <w:rsid w:val="00116AC4"/>
    <w:rsid w:val="00117323"/>
    <w:rsid w:val="00122F7D"/>
    <w:rsid w:val="00125A4E"/>
    <w:rsid w:val="00130475"/>
    <w:rsid w:val="001368E1"/>
    <w:rsid w:val="001407B4"/>
    <w:rsid w:val="00145708"/>
    <w:rsid w:val="001542CE"/>
    <w:rsid w:val="00155F0A"/>
    <w:rsid w:val="00155F35"/>
    <w:rsid w:val="00157DA2"/>
    <w:rsid w:val="00157F91"/>
    <w:rsid w:val="00157FE1"/>
    <w:rsid w:val="00161A09"/>
    <w:rsid w:val="0016569E"/>
    <w:rsid w:val="001678E4"/>
    <w:rsid w:val="00171B3F"/>
    <w:rsid w:val="0017264D"/>
    <w:rsid w:val="001778B3"/>
    <w:rsid w:val="001803BB"/>
    <w:rsid w:val="00181453"/>
    <w:rsid w:val="00190C0B"/>
    <w:rsid w:val="00192550"/>
    <w:rsid w:val="001A16E2"/>
    <w:rsid w:val="001A54BB"/>
    <w:rsid w:val="001A67A8"/>
    <w:rsid w:val="001C4BAD"/>
    <w:rsid w:val="001D1A34"/>
    <w:rsid w:val="001D1AEE"/>
    <w:rsid w:val="001D295E"/>
    <w:rsid w:val="001D2C90"/>
    <w:rsid w:val="001D50F7"/>
    <w:rsid w:val="001E1DE6"/>
    <w:rsid w:val="001E2650"/>
    <w:rsid w:val="001F2521"/>
    <w:rsid w:val="001F4B8E"/>
    <w:rsid w:val="001F5988"/>
    <w:rsid w:val="001F66F8"/>
    <w:rsid w:val="001F75F7"/>
    <w:rsid w:val="00202160"/>
    <w:rsid w:val="00205EAB"/>
    <w:rsid w:val="00207203"/>
    <w:rsid w:val="002118FB"/>
    <w:rsid w:val="002124C9"/>
    <w:rsid w:val="00217660"/>
    <w:rsid w:val="002224A1"/>
    <w:rsid w:val="00223059"/>
    <w:rsid w:val="00226226"/>
    <w:rsid w:val="00227BD4"/>
    <w:rsid w:val="0023030B"/>
    <w:rsid w:val="00233CF0"/>
    <w:rsid w:val="002365D8"/>
    <w:rsid w:val="002372F2"/>
    <w:rsid w:val="00240A66"/>
    <w:rsid w:val="002460CC"/>
    <w:rsid w:val="002503BE"/>
    <w:rsid w:val="002506D0"/>
    <w:rsid w:val="002536CB"/>
    <w:rsid w:val="00257AA8"/>
    <w:rsid w:val="002649E9"/>
    <w:rsid w:val="00264BD1"/>
    <w:rsid w:val="00274F7C"/>
    <w:rsid w:val="00282177"/>
    <w:rsid w:val="002857FC"/>
    <w:rsid w:val="00285AA6"/>
    <w:rsid w:val="002863C4"/>
    <w:rsid w:val="00286FA8"/>
    <w:rsid w:val="00287698"/>
    <w:rsid w:val="00290ACC"/>
    <w:rsid w:val="00290FED"/>
    <w:rsid w:val="00293752"/>
    <w:rsid w:val="00295C74"/>
    <w:rsid w:val="002A1AE1"/>
    <w:rsid w:val="002B317D"/>
    <w:rsid w:val="002C1FBE"/>
    <w:rsid w:val="002C251B"/>
    <w:rsid w:val="002C54AF"/>
    <w:rsid w:val="002C684E"/>
    <w:rsid w:val="002D00CF"/>
    <w:rsid w:val="002D46C5"/>
    <w:rsid w:val="002E2556"/>
    <w:rsid w:val="002E5C4A"/>
    <w:rsid w:val="002F46BD"/>
    <w:rsid w:val="00305C9D"/>
    <w:rsid w:val="00306C4E"/>
    <w:rsid w:val="00310DC9"/>
    <w:rsid w:val="003128A8"/>
    <w:rsid w:val="00315764"/>
    <w:rsid w:val="003227D3"/>
    <w:rsid w:val="00323ED2"/>
    <w:rsid w:val="0032502B"/>
    <w:rsid w:val="0032591B"/>
    <w:rsid w:val="00327498"/>
    <w:rsid w:val="003307D3"/>
    <w:rsid w:val="0033199C"/>
    <w:rsid w:val="00333861"/>
    <w:rsid w:val="003348ED"/>
    <w:rsid w:val="00336579"/>
    <w:rsid w:val="00340CCD"/>
    <w:rsid w:val="003418A1"/>
    <w:rsid w:val="0034287C"/>
    <w:rsid w:val="003500B6"/>
    <w:rsid w:val="00354097"/>
    <w:rsid w:val="00355A1E"/>
    <w:rsid w:val="00357E44"/>
    <w:rsid w:val="00362514"/>
    <w:rsid w:val="0036334A"/>
    <w:rsid w:val="00364604"/>
    <w:rsid w:val="00364943"/>
    <w:rsid w:val="003703EF"/>
    <w:rsid w:val="00370D2D"/>
    <w:rsid w:val="00371332"/>
    <w:rsid w:val="00372920"/>
    <w:rsid w:val="003747D4"/>
    <w:rsid w:val="00381C65"/>
    <w:rsid w:val="00384DA3"/>
    <w:rsid w:val="00386A9A"/>
    <w:rsid w:val="00386CB8"/>
    <w:rsid w:val="00386D17"/>
    <w:rsid w:val="00391EED"/>
    <w:rsid w:val="003940E7"/>
    <w:rsid w:val="003A0776"/>
    <w:rsid w:val="003A3A11"/>
    <w:rsid w:val="003B4C79"/>
    <w:rsid w:val="003B5D3B"/>
    <w:rsid w:val="003B5D95"/>
    <w:rsid w:val="003B7950"/>
    <w:rsid w:val="003C1ECB"/>
    <w:rsid w:val="003C41C6"/>
    <w:rsid w:val="003D05F5"/>
    <w:rsid w:val="003D1AF3"/>
    <w:rsid w:val="003D399C"/>
    <w:rsid w:val="003D40CA"/>
    <w:rsid w:val="003D45C6"/>
    <w:rsid w:val="003E1690"/>
    <w:rsid w:val="003E3279"/>
    <w:rsid w:val="003F4D17"/>
    <w:rsid w:val="003F5DC4"/>
    <w:rsid w:val="003F7D43"/>
    <w:rsid w:val="00400D38"/>
    <w:rsid w:val="00400F1F"/>
    <w:rsid w:val="0040198E"/>
    <w:rsid w:val="004057BD"/>
    <w:rsid w:val="00407EF0"/>
    <w:rsid w:val="00410C8A"/>
    <w:rsid w:val="00415109"/>
    <w:rsid w:val="00415CEA"/>
    <w:rsid w:val="00420DEF"/>
    <w:rsid w:val="0042770D"/>
    <w:rsid w:val="0043006D"/>
    <w:rsid w:val="0043095D"/>
    <w:rsid w:val="004312C5"/>
    <w:rsid w:val="004327CD"/>
    <w:rsid w:val="00432C86"/>
    <w:rsid w:val="004337B2"/>
    <w:rsid w:val="00433EE5"/>
    <w:rsid w:val="004357DB"/>
    <w:rsid w:val="00436650"/>
    <w:rsid w:val="0044064F"/>
    <w:rsid w:val="00441A25"/>
    <w:rsid w:val="004424A1"/>
    <w:rsid w:val="004428D0"/>
    <w:rsid w:val="00451E5B"/>
    <w:rsid w:val="004524A1"/>
    <w:rsid w:val="004524E5"/>
    <w:rsid w:val="00454792"/>
    <w:rsid w:val="00455DA1"/>
    <w:rsid w:val="00464D59"/>
    <w:rsid w:val="00465330"/>
    <w:rsid w:val="004719D8"/>
    <w:rsid w:val="00471D7C"/>
    <w:rsid w:val="0047284D"/>
    <w:rsid w:val="00472887"/>
    <w:rsid w:val="00475B63"/>
    <w:rsid w:val="004822B4"/>
    <w:rsid w:val="00490688"/>
    <w:rsid w:val="00497A14"/>
    <w:rsid w:val="004A3960"/>
    <w:rsid w:val="004A6C28"/>
    <w:rsid w:val="004B24F1"/>
    <w:rsid w:val="004B300D"/>
    <w:rsid w:val="004B755E"/>
    <w:rsid w:val="004B7991"/>
    <w:rsid w:val="004C45D4"/>
    <w:rsid w:val="004D31D7"/>
    <w:rsid w:val="004E11E3"/>
    <w:rsid w:val="004E52A2"/>
    <w:rsid w:val="004E530E"/>
    <w:rsid w:val="004E5C8C"/>
    <w:rsid w:val="004F50B0"/>
    <w:rsid w:val="00500D08"/>
    <w:rsid w:val="0050165F"/>
    <w:rsid w:val="00502050"/>
    <w:rsid w:val="00507A5E"/>
    <w:rsid w:val="005127F9"/>
    <w:rsid w:val="00512F4B"/>
    <w:rsid w:val="00513F0F"/>
    <w:rsid w:val="0051418D"/>
    <w:rsid w:val="00530AA7"/>
    <w:rsid w:val="00536EDB"/>
    <w:rsid w:val="00541B05"/>
    <w:rsid w:val="005448AE"/>
    <w:rsid w:val="0054727B"/>
    <w:rsid w:val="00547400"/>
    <w:rsid w:val="00556295"/>
    <w:rsid w:val="005563EB"/>
    <w:rsid w:val="00560280"/>
    <w:rsid w:val="00560661"/>
    <w:rsid w:val="005606A5"/>
    <w:rsid w:val="00560C4F"/>
    <w:rsid w:val="00564187"/>
    <w:rsid w:val="00566165"/>
    <w:rsid w:val="00570C3A"/>
    <w:rsid w:val="005711BD"/>
    <w:rsid w:val="00575326"/>
    <w:rsid w:val="00580D1F"/>
    <w:rsid w:val="005835D6"/>
    <w:rsid w:val="00583D8A"/>
    <w:rsid w:val="005844E5"/>
    <w:rsid w:val="0058507D"/>
    <w:rsid w:val="00595CA4"/>
    <w:rsid w:val="005A5AED"/>
    <w:rsid w:val="005B142C"/>
    <w:rsid w:val="005B6A48"/>
    <w:rsid w:val="005B7D29"/>
    <w:rsid w:val="005C0490"/>
    <w:rsid w:val="005C128D"/>
    <w:rsid w:val="005C53E0"/>
    <w:rsid w:val="005C69F0"/>
    <w:rsid w:val="005D57BC"/>
    <w:rsid w:val="005E2AE1"/>
    <w:rsid w:val="005E4C22"/>
    <w:rsid w:val="005E5CCD"/>
    <w:rsid w:val="005F01AF"/>
    <w:rsid w:val="005F1C65"/>
    <w:rsid w:val="0060475B"/>
    <w:rsid w:val="006127F6"/>
    <w:rsid w:val="00612F81"/>
    <w:rsid w:val="00617612"/>
    <w:rsid w:val="006222FA"/>
    <w:rsid w:val="00622D32"/>
    <w:rsid w:val="00627D65"/>
    <w:rsid w:val="00633AA3"/>
    <w:rsid w:val="0063407E"/>
    <w:rsid w:val="00656349"/>
    <w:rsid w:val="0065790E"/>
    <w:rsid w:val="00662E9A"/>
    <w:rsid w:val="00662FD5"/>
    <w:rsid w:val="00663653"/>
    <w:rsid w:val="00665446"/>
    <w:rsid w:val="006669BF"/>
    <w:rsid w:val="00682B79"/>
    <w:rsid w:val="00695593"/>
    <w:rsid w:val="006972A2"/>
    <w:rsid w:val="006A1791"/>
    <w:rsid w:val="006A1B52"/>
    <w:rsid w:val="006B2326"/>
    <w:rsid w:val="006B5722"/>
    <w:rsid w:val="006C19B9"/>
    <w:rsid w:val="006C24B1"/>
    <w:rsid w:val="006C45CD"/>
    <w:rsid w:val="006C54B5"/>
    <w:rsid w:val="006C5FD6"/>
    <w:rsid w:val="006C77BD"/>
    <w:rsid w:val="006D32DA"/>
    <w:rsid w:val="006D7BC2"/>
    <w:rsid w:val="006E1EA7"/>
    <w:rsid w:val="006E5AC3"/>
    <w:rsid w:val="006F079E"/>
    <w:rsid w:val="006F1923"/>
    <w:rsid w:val="006F2FAF"/>
    <w:rsid w:val="006F4C6C"/>
    <w:rsid w:val="006F505F"/>
    <w:rsid w:val="006F60D5"/>
    <w:rsid w:val="00700E39"/>
    <w:rsid w:val="00703D6F"/>
    <w:rsid w:val="007068D8"/>
    <w:rsid w:val="0071389A"/>
    <w:rsid w:val="0072583F"/>
    <w:rsid w:val="007272BC"/>
    <w:rsid w:val="00730D47"/>
    <w:rsid w:val="00735792"/>
    <w:rsid w:val="00737843"/>
    <w:rsid w:val="00745338"/>
    <w:rsid w:val="00745D81"/>
    <w:rsid w:val="0074620A"/>
    <w:rsid w:val="00752FF7"/>
    <w:rsid w:val="0075455D"/>
    <w:rsid w:val="007617B2"/>
    <w:rsid w:val="00761C03"/>
    <w:rsid w:val="007653AD"/>
    <w:rsid w:val="00770645"/>
    <w:rsid w:val="00774C47"/>
    <w:rsid w:val="007775A9"/>
    <w:rsid w:val="00784167"/>
    <w:rsid w:val="00785369"/>
    <w:rsid w:val="007A01E6"/>
    <w:rsid w:val="007A0EEB"/>
    <w:rsid w:val="007A1B84"/>
    <w:rsid w:val="007A2B40"/>
    <w:rsid w:val="007A3858"/>
    <w:rsid w:val="007A65BC"/>
    <w:rsid w:val="007A68D7"/>
    <w:rsid w:val="007A7071"/>
    <w:rsid w:val="007A7A5E"/>
    <w:rsid w:val="007B0D46"/>
    <w:rsid w:val="007B2F80"/>
    <w:rsid w:val="007B36F9"/>
    <w:rsid w:val="007B64A1"/>
    <w:rsid w:val="007B6996"/>
    <w:rsid w:val="007C0833"/>
    <w:rsid w:val="007C25E2"/>
    <w:rsid w:val="007C36B8"/>
    <w:rsid w:val="007C74A3"/>
    <w:rsid w:val="007C7978"/>
    <w:rsid w:val="007C7DC9"/>
    <w:rsid w:val="007D1DED"/>
    <w:rsid w:val="007D2CD6"/>
    <w:rsid w:val="007D33A4"/>
    <w:rsid w:val="007D4B05"/>
    <w:rsid w:val="007F19CF"/>
    <w:rsid w:val="007F32A3"/>
    <w:rsid w:val="007F72F7"/>
    <w:rsid w:val="008022EE"/>
    <w:rsid w:val="0080435E"/>
    <w:rsid w:val="00810C10"/>
    <w:rsid w:val="0081425B"/>
    <w:rsid w:val="008201B6"/>
    <w:rsid w:val="00820B04"/>
    <w:rsid w:val="00823645"/>
    <w:rsid w:val="00823E36"/>
    <w:rsid w:val="00825698"/>
    <w:rsid w:val="0083464D"/>
    <w:rsid w:val="008347D7"/>
    <w:rsid w:val="00836334"/>
    <w:rsid w:val="00836579"/>
    <w:rsid w:val="00841ACC"/>
    <w:rsid w:val="00842A2C"/>
    <w:rsid w:val="00843706"/>
    <w:rsid w:val="00851B7C"/>
    <w:rsid w:val="00857634"/>
    <w:rsid w:val="00860254"/>
    <w:rsid w:val="008655B8"/>
    <w:rsid w:val="0086586D"/>
    <w:rsid w:val="008660CD"/>
    <w:rsid w:val="008670DA"/>
    <w:rsid w:val="0086787F"/>
    <w:rsid w:val="00870CD8"/>
    <w:rsid w:val="008761DB"/>
    <w:rsid w:val="008763D6"/>
    <w:rsid w:val="0088168E"/>
    <w:rsid w:val="008823B1"/>
    <w:rsid w:val="008837E3"/>
    <w:rsid w:val="00890F92"/>
    <w:rsid w:val="00892585"/>
    <w:rsid w:val="00892FC1"/>
    <w:rsid w:val="008943D8"/>
    <w:rsid w:val="00896FDD"/>
    <w:rsid w:val="00897457"/>
    <w:rsid w:val="00897825"/>
    <w:rsid w:val="008B0BC8"/>
    <w:rsid w:val="008B1333"/>
    <w:rsid w:val="008B4B90"/>
    <w:rsid w:val="008B5C1A"/>
    <w:rsid w:val="008C1400"/>
    <w:rsid w:val="008C1726"/>
    <w:rsid w:val="008C36C2"/>
    <w:rsid w:val="008C4300"/>
    <w:rsid w:val="008C5D11"/>
    <w:rsid w:val="008C69D9"/>
    <w:rsid w:val="008C6D88"/>
    <w:rsid w:val="008E1CCA"/>
    <w:rsid w:val="008E314C"/>
    <w:rsid w:val="008E36E1"/>
    <w:rsid w:val="008F55A0"/>
    <w:rsid w:val="008F6BFB"/>
    <w:rsid w:val="0090717C"/>
    <w:rsid w:val="00913572"/>
    <w:rsid w:val="00916578"/>
    <w:rsid w:val="0091739E"/>
    <w:rsid w:val="009242BC"/>
    <w:rsid w:val="009318A1"/>
    <w:rsid w:val="0093219F"/>
    <w:rsid w:val="0094088D"/>
    <w:rsid w:val="0094317E"/>
    <w:rsid w:val="00944B25"/>
    <w:rsid w:val="00944D2A"/>
    <w:rsid w:val="00951387"/>
    <w:rsid w:val="00952637"/>
    <w:rsid w:val="009531E4"/>
    <w:rsid w:val="0095447B"/>
    <w:rsid w:val="00955178"/>
    <w:rsid w:val="00957C60"/>
    <w:rsid w:val="00975581"/>
    <w:rsid w:val="00976771"/>
    <w:rsid w:val="00982666"/>
    <w:rsid w:val="00985BFA"/>
    <w:rsid w:val="00990EFF"/>
    <w:rsid w:val="00993A05"/>
    <w:rsid w:val="00995F51"/>
    <w:rsid w:val="009A0192"/>
    <w:rsid w:val="009B0646"/>
    <w:rsid w:val="009B5CAD"/>
    <w:rsid w:val="009B5D68"/>
    <w:rsid w:val="009C1B34"/>
    <w:rsid w:val="009C4087"/>
    <w:rsid w:val="009C718C"/>
    <w:rsid w:val="009D1592"/>
    <w:rsid w:val="009D4A01"/>
    <w:rsid w:val="009D62C8"/>
    <w:rsid w:val="009D66B7"/>
    <w:rsid w:val="009D6EFF"/>
    <w:rsid w:val="009E35EC"/>
    <w:rsid w:val="009E6B72"/>
    <w:rsid w:val="009F10F6"/>
    <w:rsid w:val="009F2338"/>
    <w:rsid w:val="009F302C"/>
    <w:rsid w:val="009F4505"/>
    <w:rsid w:val="009F6848"/>
    <w:rsid w:val="00A06F43"/>
    <w:rsid w:val="00A100E8"/>
    <w:rsid w:val="00A16501"/>
    <w:rsid w:val="00A16EE8"/>
    <w:rsid w:val="00A1709E"/>
    <w:rsid w:val="00A17CFB"/>
    <w:rsid w:val="00A21BAE"/>
    <w:rsid w:val="00A23546"/>
    <w:rsid w:val="00A27492"/>
    <w:rsid w:val="00A3126D"/>
    <w:rsid w:val="00A32542"/>
    <w:rsid w:val="00A40CBE"/>
    <w:rsid w:val="00A46424"/>
    <w:rsid w:val="00A51435"/>
    <w:rsid w:val="00A53F43"/>
    <w:rsid w:val="00A54515"/>
    <w:rsid w:val="00A61521"/>
    <w:rsid w:val="00A62A70"/>
    <w:rsid w:val="00A7332E"/>
    <w:rsid w:val="00A80EC1"/>
    <w:rsid w:val="00A81229"/>
    <w:rsid w:val="00A87EF7"/>
    <w:rsid w:val="00A9002D"/>
    <w:rsid w:val="00A95A57"/>
    <w:rsid w:val="00A962F5"/>
    <w:rsid w:val="00A96D05"/>
    <w:rsid w:val="00AA34CF"/>
    <w:rsid w:val="00AA4333"/>
    <w:rsid w:val="00AA5486"/>
    <w:rsid w:val="00AA6933"/>
    <w:rsid w:val="00AB2641"/>
    <w:rsid w:val="00AB316D"/>
    <w:rsid w:val="00AB5785"/>
    <w:rsid w:val="00AC08A1"/>
    <w:rsid w:val="00AC0F81"/>
    <w:rsid w:val="00AC2DF4"/>
    <w:rsid w:val="00AC6FAA"/>
    <w:rsid w:val="00AD04F2"/>
    <w:rsid w:val="00AD2B90"/>
    <w:rsid w:val="00AD3A19"/>
    <w:rsid w:val="00AD78FF"/>
    <w:rsid w:val="00AD795F"/>
    <w:rsid w:val="00AE10A6"/>
    <w:rsid w:val="00AE151C"/>
    <w:rsid w:val="00AF2A52"/>
    <w:rsid w:val="00AF4859"/>
    <w:rsid w:val="00AF63BA"/>
    <w:rsid w:val="00AF6A29"/>
    <w:rsid w:val="00AF6C5D"/>
    <w:rsid w:val="00B079D8"/>
    <w:rsid w:val="00B07CBC"/>
    <w:rsid w:val="00B11F10"/>
    <w:rsid w:val="00B229D4"/>
    <w:rsid w:val="00B263E0"/>
    <w:rsid w:val="00B32AAB"/>
    <w:rsid w:val="00B36865"/>
    <w:rsid w:val="00B400E2"/>
    <w:rsid w:val="00B4436B"/>
    <w:rsid w:val="00B50542"/>
    <w:rsid w:val="00B50698"/>
    <w:rsid w:val="00B56786"/>
    <w:rsid w:val="00B617D5"/>
    <w:rsid w:val="00B65BFE"/>
    <w:rsid w:val="00B70D27"/>
    <w:rsid w:val="00B76B6C"/>
    <w:rsid w:val="00B879A7"/>
    <w:rsid w:val="00B94703"/>
    <w:rsid w:val="00BA288F"/>
    <w:rsid w:val="00BA3BC6"/>
    <w:rsid w:val="00BA4927"/>
    <w:rsid w:val="00BA4B77"/>
    <w:rsid w:val="00BA747A"/>
    <w:rsid w:val="00BB051C"/>
    <w:rsid w:val="00BB1C11"/>
    <w:rsid w:val="00BB2ABF"/>
    <w:rsid w:val="00BB5013"/>
    <w:rsid w:val="00BC37FA"/>
    <w:rsid w:val="00BC78DB"/>
    <w:rsid w:val="00BD2ECB"/>
    <w:rsid w:val="00BE2706"/>
    <w:rsid w:val="00BE38EA"/>
    <w:rsid w:val="00BE6E85"/>
    <w:rsid w:val="00BF195D"/>
    <w:rsid w:val="00BF1ED3"/>
    <w:rsid w:val="00BF4491"/>
    <w:rsid w:val="00C03173"/>
    <w:rsid w:val="00C1217A"/>
    <w:rsid w:val="00C20C8B"/>
    <w:rsid w:val="00C23697"/>
    <w:rsid w:val="00C26EBE"/>
    <w:rsid w:val="00C320B9"/>
    <w:rsid w:val="00C339A9"/>
    <w:rsid w:val="00C35BB5"/>
    <w:rsid w:val="00C378A4"/>
    <w:rsid w:val="00C46CDA"/>
    <w:rsid w:val="00C475E3"/>
    <w:rsid w:val="00C50310"/>
    <w:rsid w:val="00C51A5D"/>
    <w:rsid w:val="00C51CEF"/>
    <w:rsid w:val="00C51E81"/>
    <w:rsid w:val="00C52E73"/>
    <w:rsid w:val="00C56323"/>
    <w:rsid w:val="00C6174D"/>
    <w:rsid w:val="00C667EC"/>
    <w:rsid w:val="00C67993"/>
    <w:rsid w:val="00C70835"/>
    <w:rsid w:val="00C756E0"/>
    <w:rsid w:val="00C77E17"/>
    <w:rsid w:val="00C8071F"/>
    <w:rsid w:val="00C819FC"/>
    <w:rsid w:val="00C823AB"/>
    <w:rsid w:val="00C850DD"/>
    <w:rsid w:val="00C86D19"/>
    <w:rsid w:val="00C977E9"/>
    <w:rsid w:val="00CB0E49"/>
    <w:rsid w:val="00CB5C71"/>
    <w:rsid w:val="00CC0430"/>
    <w:rsid w:val="00CC0CD2"/>
    <w:rsid w:val="00CC164F"/>
    <w:rsid w:val="00CC2848"/>
    <w:rsid w:val="00CC4C4E"/>
    <w:rsid w:val="00CC6B8A"/>
    <w:rsid w:val="00CC7BC4"/>
    <w:rsid w:val="00CD11AC"/>
    <w:rsid w:val="00CD4879"/>
    <w:rsid w:val="00CE0F5D"/>
    <w:rsid w:val="00CE4CD5"/>
    <w:rsid w:val="00CE5BED"/>
    <w:rsid w:val="00CE79CB"/>
    <w:rsid w:val="00CF2468"/>
    <w:rsid w:val="00CF4367"/>
    <w:rsid w:val="00CF63F0"/>
    <w:rsid w:val="00D00F07"/>
    <w:rsid w:val="00D02AA8"/>
    <w:rsid w:val="00D03672"/>
    <w:rsid w:val="00D05D42"/>
    <w:rsid w:val="00D12897"/>
    <w:rsid w:val="00D12E29"/>
    <w:rsid w:val="00D1400C"/>
    <w:rsid w:val="00D15CE3"/>
    <w:rsid w:val="00D2054B"/>
    <w:rsid w:val="00D22B39"/>
    <w:rsid w:val="00D25879"/>
    <w:rsid w:val="00D331F9"/>
    <w:rsid w:val="00D37BD9"/>
    <w:rsid w:val="00D4323A"/>
    <w:rsid w:val="00D43840"/>
    <w:rsid w:val="00D4422C"/>
    <w:rsid w:val="00D51054"/>
    <w:rsid w:val="00D53191"/>
    <w:rsid w:val="00D5487B"/>
    <w:rsid w:val="00D6299C"/>
    <w:rsid w:val="00D63467"/>
    <w:rsid w:val="00D74474"/>
    <w:rsid w:val="00D7542E"/>
    <w:rsid w:val="00D76B6F"/>
    <w:rsid w:val="00D83D5E"/>
    <w:rsid w:val="00D90D1C"/>
    <w:rsid w:val="00D928E7"/>
    <w:rsid w:val="00D957E1"/>
    <w:rsid w:val="00D97EF4"/>
    <w:rsid w:val="00DA292F"/>
    <w:rsid w:val="00DA3FCF"/>
    <w:rsid w:val="00DA58F1"/>
    <w:rsid w:val="00DA6946"/>
    <w:rsid w:val="00DB25E8"/>
    <w:rsid w:val="00DB4F56"/>
    <w:rsid w:val="00DB5BE6"/>
    <w:rsid w:val="00DC357D"/>
    <w:rsid w:val="00DD1F3B"/>
    <w:rsid w:val="00DD4751"/>
    <w:rsid w:val="00DE04F3"/>
    <w:rsid w:val="00DE4A9F"/>
    <w:rsid w:val="00DE79E3"/>
    <w:rsid w:val="00DF00A9"/>
    <w:rsid w:val="00DF0EC5"/>
    <w:rsid w:val="00DF2177"/>
    <w:rsid w:val="00DF72F7"/>
    <w:rsid w:val="00E02283"/>
    <w:rsid w:val="00E10A32"/>
    <w:rsid w:val="00E1298D"/>
    <w:rsid w:val="00E13AEE"/>
    <w:rsid w:val="00E14783"/>
    <w:rsid w:val="00E15478"/>
    <w:rsid w:val="00E17B12"/>
    <w:rsid w:val="00E20823"/>
    <w:rsid w:val="00E27898"/>
    <w:rsid w:val="00E31AE9"/>
    <w:rsid w:val="00E3399F"/>
    <w:rsid w:val="00E36074"/>
    <w:rsid w:val="00E40CB2"/>
    <w:rsid w:val="00E42496"/>
    <w:rsid w:val="00E47FD2"/>
    <w:rsid w:val="00E53948"/>
    <w:rsid w:val="00E606B1"/>
    <w:rsid w:val="00E60A49"/>
    <w:rsid w:val="00E72055"/>
    <w:rsid w:val="00E7219C"/>
    <w:rsid w:val="00E733DE"/>
    <w:rsid w:val="00E766EB"/>
    <w:rsid w:val="00E824E3"/>
    <w:rsid w:val="00E83629"/>
    <w:rsid w:val="00E87D45"/>
    <w:rsid w:val="00E90897"/>
    <w:rsid w:val="00E94588"/>
    <w:rsid w:val="00E96B0C"/>
    <w:rsid w:val="00EA578F"/>
    <w:rsid w:val="00EA747F"/>
    <w:rsid w:val="00EB23A6"/>
    <w:rsid w:val="00EC1160"/>
    <w:rsid w:val="00EC16B3"/>
    <w:rsid w:val="00EC5323"/>
    <w:rsid w:val="00ED1342"/>
    <w:rsid w:val="00ED2C95"/>
    <w:rsid w:val="00ED481C"/>
    <w:rsid w:val="00ED799F"/>
    <w:rsid w:val="00EE2F70"/>
    <w:rsid w:val="00EE61F9"/>
    <w:rsid w:val="00EF0E9D"/>
    <w:rsid w:val="00EF4F2B"/>
    <w:rsid w:val="00EF6600"/>
    <w:rsid w:val="00F00FC2"/>
    <w:rsid w:val="00F13D2B"/>
    <w:rsid w:val="00F21075"/>
    <w:rsid w:val="00F227E6"/>
    <w:rsid w:val="00F25FE3"/>
    <w:rsid w:val="00F31C5A"/>
    <w:rsid w:val="00F33B39"/>
    <w:rsid w:val="00F37740"/>
    <w:rsid w:val="00F41E23"/>
    <w:rsid w:val="00F42C6F"/>
    <w:rsid w:val="00F43BF4"/>
    <w:rsid w:val="00F47908"/>
    <w:rsid w:val="00F53DDC"/>
    <w:rsid w:val="00F54A92"/>
    <w:rsid w:val="00F55C3D"/>
    <w:rsid w:val="00F56D52"/>
    <w:rsid w:val="00F62088"/>
    <w:rsid w:val="00F6753F"/>
    <w:rsid w:val="00F675DA"/>
    <w:rsid w:val="00F71DDD"/>
    <w:rsid w:val="00F73556"/>
    <w:rsid w:val="00F77485"/>
    <w:rsid w:val="00F8225C"/>
    <w:rsid w:val="00F860FB"/>
    <w:rsid w:val="00F90A3A"/>
    <w:rsid w:val="00F97A7A"/>
    <w:rsid w:val="00FA1A75"/>
    <w:rsid w:val="00FA240F"/>
    <w:rsid w:val="00FB0AFE"/>
    <w:rsid w:val="00FB24E0"/>
    <w:rsid w:val="00FB3FB2"/>
    <w:rsid w:val="00FC45BC"/>
    <w:rsid w:val="00FC45C2"/>
    <w:rsid w:val="00FC6237"/>
    <w:rsid w:val="00FC65A1"/>
    <w:rsid w:val="00FD3654"/>
    <w:rsid w:val="00FD7E99"/>
    <w:rsid w:val="00FE1FFB"/>
    <w:rsid w:val="00FE29C3"/>
    <w:rsid w:val="00FE4D8F"/>
    <w:rsid w:val="00FE56AC"/>
    <w:rsid w:val="00FE69B1"/>
    <w:rsid w:val="00FF13AA"/>
    <w:rsid w:val="00FF16AC"/>
    <w:rsid w:val="00FF6B49"/>
    <w:rsid w:val="03445F9A"/>
    <w:rsid w:val="03C92A36"/>
    <w:rsid w:val="06F563E4"/>
    <w:rsid w:val="08040129"/>
    <w:rsid w:val="0AC22C90"/>
    <w:rsid w:val="0AC40AEE"/>
    <w:rsid w:val="0B30786C"/>
    <w:rsid w:val="16827A7F"/>
    <w:rsid w:val="1D624687"/>
    <w:rsid w:val="1FA84D56"/>
    <w:rsid w:val="216E1487"/>
    <w:rsid w:val="2A104BCF"/>
    <w:rsid w:val="2BE72F61"/>
    <w:rsid w:val="2F7C5958"/>
    <w:rsid w:val="3505164B"/>
    <w:rsid w:val="36CB1532"/>
    <w:rsid w:val="3D9246FC"/>
    <w:rsid w:val="3EBC6DBE"/>
    <w:rsid w:val="41375829"/>
    <w:rsid w:val="439D5C4D"/>
    <w:rsid w:val="47FC28E8"/>
    <w:rsid w:val="4B2748A6"/>
    <w:rsid w:val="4F1E0DA8"/>
    <w:rsid w:val="528C34F9"/>
    <w:rsid w:val="54A803ED"/>
    <w:rsid w:val="564D79B4"/>
    <w:rsid w:val="58975BCD"/>
    <w:rsid w:val="59FB4B03"/>
    <w:rsid w:val="5B567E5A"/>
    <w:rsid w:val="5D280E64"/>
    <w:rsid w:val="5F192FE5"/>
    <w:rsid w:val="635534C1"/>
    <w:rsid w:val="659032DE"/>
    <w:rsid w:val="6CC0367C"/>
    <w:rsid w:val="71346064"/>
    <w:rsid w:val="797A1B3F"/>
    <w:rsid w:val="79FB325E"/>
    <w:rsid w:val="7A9656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18"/>
    <w:qFormat/>
    <w:uiPriority w:val="9"/>
    <w:pPr>
      <w:keepNext/>
      <w:keepLines/>
      <w:spacing w:before="340" w:after="330" w:line="578" w:lineRule="auto"/>
      <w:jc w:val="right"/>
      <w:outlineLvl w:val="0"/>
    </w:pPr>
    <w:rPr>
      <w:rFonts w:eastAsia="方正小标宋简体"/>
      <w:bCs/>
      <w:i/>
      <w:color w:val="2E75B6" w:themeColor="accent1" w:themeShade="BF"/>
      <w:kern w:val="44"/>
      <w:sz w:val="72"/>
      <w:szCs w:val="44"/>
    </w:rPr>
  </w:style>
  <w:style w:type="paragraph" w:styleId="3">
    <w:name w:val="heading 2"/>
    <w:basedOn w:val="1"/>
    <w:next w:val="1"/>
    <w:link w:val="20"/>
    <w:unhideWhenUsed/>
    <w:qFormat/>
    <w:uiPriority w:val="9"/>
    <w:pPr>
      <w:keepNext/>
      <w:keepLines/>
      <w:spacing w:before="260" w:after="260" w:line="416" w:lineRule="auto"/>
      <w:outlineLvl w:val="1"/>
    </w:pPr>
    <w:rPr>
      <w:rFonts w:eastAsia="方正小标宋简体" w:asciiTheme="majorHAnsi" w:hAnsiTheme="majorHAnsi" w:cstheme="majorBidi"/>
      <w:b/>
      <w:bCs/>
      <w:color w:val="2E75B6" w:themeColor="accent1" w:themeShade="BF"/>
      <w:sz w:val="44"/>
      <w:szCs w:val="32"/>
    </w:rPr>
  </w:style>
  <w:style w:type="character" w:default="1" w:styleId="13">
    <w:name w:val="Default Paragraph Font"/>
    <w:semiHidden/>
    <w:unhideWhenUsed/>
    <w:uiPriority w:val="1"/>
  </w:style>
  <w:style w:type="table" w:default="1" w:styleId="11">
    <w:name w:val="Normal Table"/>
    <w:semiHidden/>
    <w:unhideWhenUsed/>
    <w:uiPriority w:val="99"/>
    <w:tblPr>
      <w:tblLayout w:type="fixed"/>
      <w:tblCellMar>
        <w:top w:w="0" w:type="dxa"/>
        <w:left w:w="108" w:type="dxa"/>
        <w:bottom w:w="0" w:type="dxa"/>
        <w:right w:w="108" w:type="dxa"/>
      </w:tblCellMar>
    </w:tblPr>
  </w:style>
  <w:style w:type="paragraph" w:styleId="4">
    <w:name w:val="toc 3"/>
    <w:basedOn w:val="1"/>
    <w:next w:val="1"/>
    <w:unhideWhenUsed/>
    <w:qFormat/>
    <w:uiPriority w:val="39"/>
    <w:pPr>
      <w:widowControl/>
      <w:spacing w:after="100" w:line="259" w:lineRule="auto"/>
      <w:ind w:left="440"/>
      <w:jc w:val="left"/>
    </w:pPr>
    <w:rPr>
      <w:rFonts w:cs="Times New Roman"/>
      <w:kern w:val="0"/>
      <w:sz w:val="22"/>
    </w:rPr>
  </w:style>
  <w:style w:type="paragraph" w:styleId="5">
    <w:name w:val="Balloon Text"/>
    <w:basedOn w:val="1"/>
    <w:link w:val="17"/>
    <w:unhideWhenUsed/>
    <w:qFormat/>
    <w:uiPriority w:val="99"/>
    <w:rPr>
      <w:sz w:val="18"/>
      <w:szCs w:val="18"/>
    </w:rPr>
  </w:style>
  <w:style w:type="paragraph" w:styleId="6">
    <w:name w:val="footer"/>
    <w:basedOn w:val="1"/>
    <w:link w:val="16"/>
    <w:unhideWhenUsed/>
    <w:qFormat/>
    <w:uiPriority w:val="99"/>
    <w:pPr>
      <w:tabs>
        <w:tab w:val="center" w:pos="4153"/>
        <w:tab w:val="right" w:pos="8306"/>
      </w:tabs>
      <w:snapToGrid w:val="0"/>
      <w:jc w:val="left"/>
    </w:pPr>
    <w:rPr>
      <w:sz w:val="18"/>
      <w:szCs w:val="18"/>
    </w:rPr>
  </w:style>
  <w:style w:type="paragraph" w:styleId="7">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toc 1"/>
    <w:basedOn w:val="1"/>
    <w:next w:val="1"/>
    <w:unhideWhenUsed/>
    <w:qFormat/>
    <w:uiPriority w:val="39"/>
  </w:style>
  <w:style w:type="paragraph" w:styleId="9">
    <w:name w:val="toc 2"/>
    <w:basedOn w:val="1"/>
    <w:next w:val="1"/>
    <w:unhideWhenUsed/>
    <w:qFormat/>
    <w:uiPriority w:val="39"/>
    <w:pPr>
      <w:widowControl/>
      <w:spacing w:after="100" w:line="259" w:lineRule="auto"/>
      <w:ind w:left="220"/>
      <w:jc w:val="left"/>
    </w:pPr>
    <w:rPr>
      <w:rFonts w:cs="Times New Roman"/>
      <w:kern w:val="0"/>
      <w:sz w:val="22"/>
    </w:rPr>
  </w:style>
  <w:style w:type="paragraph" w:styleId="10">
    <w:name w:val="Normal (Web)"/>
    <w:basedOn w:val="1"/>
    <w:unhideWhenUsed/>
    <w:qFormat/>
    <w:uiPriority w:val="0"/>
    <w:pPr>
      <w:widowControl/>
      <w:spacing w:before="100" w:beforeAutospacing="1" w:after="100" w:afterAutospacing="1"/>
      <w:jc w:val="left"/>
    </w:pPr>
    <w:rPr>
      <w:rFonts w:ascii="宋体" w:hAnsi="宋体" w:cs="宋体"/>
      <w:kern w:val="0"/>
      <w:sz w:val="24"/>
      <w:szCs w:val="24"/>
    </w:rPr>
  </w:style>
  <w:style w:type="table" w:styleId="12">
    <w:name w:val="Table Grid"/>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4">
    <w:name w:val="Hyperlink"/>
    <w:basedOn w:val="13"/>
    <w:unhideWhenUsed/>
    <w:qFormat/>
    <w:uiPriority w:val="99"/>
    <w:rPr>
      <w:color w:val="0563C1" w:themeColor="hyperlink"/>
      <w:u w:val="single"/>
      <w14:textFill>
        <w14:solidFill>
          <w14:schemeClr w14:val="hlink"/>
        </w14:solidFill>
      </w14:textFill>
    </w:rPr>
  </w:style>
  <w:style w:type="character" w:customStyle="1" w:styleId="15">
    <w:name w:val="页眉 Char"/>
    <w:basedOn w:val="13"/>
    <w:link w:val="7"/>
    <w:qFormat/>
    <w:uiPriority w:val="99"/>
    <w:rPr>
      <w:sz w:val="18"/>
      <w:szCs w:val="18"/>
    </w:rPr>
  </w:style>
  <w:style w:type="character" w:customStyle="1" w:styleId="16">
    <w:name w:val="页脚 Char"/>
    <w:basedOn w:val="13"/>
    <w:link w:val="6"/>
    <w:qFormat/>
    <w:uiPriority w:val="99"/>
    <w:rPr>
      <w:sz w:val="18"/>
      <w:szCs w:val="18"/>
    </w:rPr>
  </w:style>
  <w:style w:type="character" w:customStyle="1" w:styleId="17">
    <w:name w:val="批注框文本 Char"/>
    <w:basedOn w:val="13"/>
    <w:link w:val="5"/>
    <w:semiHidden/>
    <w:qFormat/>
    <w:uiPriority w:val="99"/>
    <w:rPr>
      <w:sz w:val="18"/>
      <w:szCs w:val="18"/>
    </w:rPr>
  </w:style>
  <w:style w:type="character" w:customStyle="1" w:styleId="18">
    <w:name w:val="标题 1 Char"/>
    <w:basedOn w:val="13"/>
    <w:link w:val="2"/>
    <w:qFormat/>
    <w:uiPriority w:val="9"/>
    <w:rPr>
      <w:rFonts w:eastAsia="方正小标宋简体" w:asciiTheme="minorHAnsi" w:hAnsiTheme="minorHAnsi" w:cstheme="minorBidi"/>
      <w:bCs/>
      <w:i/>
      <w:color w:val="2E75B6" w:themeColor="accent1" w:themeShade="BF"/>
      <w:kern w:val="44"/>
      <w:sz w:val="72"/>
      <w:szCs w:val="44"/>
    </w:rPr>
  </w:style>
  <w:style w:type="paragraph" w:customStyle="1" w:styleId="19">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i w:val="0"/>
      <w:kern w:val="0"/>
      <w:sz w:val="32"/>
      <w:szCs w:val="32"/>
    </w:rPr>
  </w:style>
  <w:style w:type="character" w:customStyle="1" w:styleId="20">
    <w:name w:val="标题 2 Char"/>
    <w:basedOn w:val="13"/>
    <w:link w:val="3"/>
    <w:qFormat/>
    <w:uiPriority w:val="9"/>
    <w:rPr>
      <w:rFonts w:eastAsia="方正小标宋简体" w:asciiTheme="majorHAnsi" w:hAnsiTheme="majorHAnsi" w:cstheme="majorBidi"/>
      <w:b/>
      <w:bCs/>
      <w:color w:val="2E75B6" w:themeColor="accent1" w:themeShade="BF"/>
      <w:kern w:val="2"/>
      <w:sz w:val="44"/>
      <w:szCs w:val="32"/>
    </w:rPr>
  </w:style>
  <w:style w:type="character" w:customStyle="1" w:styleId="21">
    <w:name w:val="NormalCharacter"/>
    <w:qFormat/>
    <w:uiPriority w:val="0"/>
    <w:rPr>
      <w:rFonts w:ascii="Times New Roman" w:hAnsi="Times New Roman" w:eastAsia="宋体"/>
    </w:rPr>
  </w:style>
  <w:style w:type="character" w:customStyle="1" w:styleId="22">
    <w:name w:val="bjh-p"/>
    <w:basedOn w:val="13"/>
    <w:qFormat/>
    <w:uiPriority w:val="0"/>
  </w:style>
  <w:style w:type="paragraph" w:customStyle="1" w:styleId="23">
    <w:name w:val="列出段落1"/>
    <w:basedOn w:val="1"/>
    <w:qFormat/>
    <w:uiPriority w:val="34"/>
    <w:pPr>
      <w:ind w:firstLine="420" w:firstLineChars="200"/>
    </w:pPr>
    <w:rPr>
      <w:szCs w:val="24"/>
    </w:rPr>
  </w:style>
  <w:style w:type="paragraph" w:customStyle="1" w:styleId="24">
    <w:name w:val="TOC 标题2"/>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Cs w:val="0"/>
      <w:i w:val="0"/>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3" Type="http://schemas.openxmlformats.org/officeDocument/2006/relationships/fontTable" Target="fontTable.xml"/><Relationship Id="rId52" Type="http://schemas.openxmlformats.org/officeDocument/2006/relationships/customXml" Target="../customXml/item2.xml"/><Relationship Id="rId51" Type="http://schemas.openxmlformats.org/officeDocument/2006/relationships/customXml" Target="../customXml/item1.xml"/><Relationship Id="rId50" Type="http://schemas.openxmlformats.org/officeDocument/2006/relationships/image" Target="media/image28.jpeg"/><Relationship Id="rId5" Type="http://schemas.openxmlformats.org/officeDocument/2006/relationships/footer" Target="footer1.xml"/><Relationship Id="rId49" Type="http://schemas.openxmlformats.org/officeDocument/2006/relationships/image" Target="media/image27.jpeg"/><Relationship Id="rId48" Type="http://schemas.openxmlformats.org/officeDocument/2006/relationships/chart" Target="charts/chart6.xml"/><Relationship Id="rId47" Type="http://schemas.openxmlformats.org/officeDocument/2006/relationships/image" Target="media/image26.jpeg"/><Relationship Id="rId46" Type="http://schemas.openxmlformats.org/officeDocument/2006/relationships/image" Target="media/image25.jpeg"/><Relationship Id="rId45" Type="http://schemas.openxmlformats.org/officeDocument/2006/relationships/image" Target="media/image24.jpeg"/><Relationship Id="rId44" Type="http://schemas.openxmlformats.org/officeDocument/2006/relationships/image" Target="media/image23.jpeg"/><Relationship Id="rId43" Type="http://schemas.openxmlformats.org/officeDocument/2006/relationships/image" Target="media/image22.jpeg"/><Relationship Id="rId42" Type="http://schemas.openxmlformats.org/officeDocument/2006/relationships/image" Target="media/image21.jpeg"/><Relationship Id="rId41" Type="http://schemas.openxmlformats.org/officeDocument/2006/relationships/image" Target="media/image20.jpeg"/><Relationship Id="rId40" Type="http://schemas.openxmlformats.org/officeDocument/2006/relationships/image" Target="media/image19.jpeg"/><Relationship Id="rId4" Type="http://schemas.openxmlformats.org/officeDocument/2006/relationships/header" Target="header2.xml"/><Relationship Id="rId39" Type="http://schemas.openxmlformats.org/officeDocument/2006/relationships/image" Target="media/image18.jpeg"/><Relationship Id="rId38" Type="http://schemas.openxmlformats.org/officeDocument/2006/relationships/image" Target="media/image17.png"/><Relationship Id="rId37" Type="http://schemas.openxmlformats.org/officeDocument/2006/relationships/image" Target="media/image16.pn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media/image13.jpeg"/><Relationship Id="rId33" Type="http://schemas.openxmlformats.org/officeDocument/2006/relationships/image" Target="media/image12.jpeg"/><Relationship Id="rId32" Type="http://schemas.openxmlformats.org/officeDocument/2006/relationships/image" Target="media/image11.pn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header" Target="header1.xml"/><Relationship Id="rId29" Type="http://schemas.openxmlformats.org/officeDocument/2006/relationships/image" Target="media/image8.jpeg"/><Relationship Id="rId28" Type="http://schemas.openxmlformats.org/officeDocument/2006/relationships/chart" Target="charts/chart5.xml"/><Relationship Id="rId27" Type="http://schemas.openxmlformats.org/officeDocument/2006/relationships/chart" Target="charts/chart4.xml"/><Relationship Id="rId26" Type="http://schemas.openxmlformats.org/officeDocument/2006/relationships/chart" Target="charts/chart3.xml"/><Relationship Id="rId25" Type="http://schemas.openxmlformats.org/officeDocument/2006/relationships/chart" Target="charts/chart2.xml"/><Relationship Id="rId24" Type="http://schemas.openxmlformats.org/officeDocument/2006/relationships/chart" Target="charts/chart1.xml"/><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jpeg"/><Relationship Id="rId20" Type="http://schemas.openxmlformats.org/officeDocument/2006/relationships/image" Target="media/image4.jpe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jpeg"/><Relationship Id="rId17" Type="http://schemas.openxmlformats.org/officeDocument/2006/relationships/theme" Target="theme/theme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_rels/chart4.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5.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6.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c:f>
              <c:strCache>
                <c:ptCount val="1"/>
                <c:pt idx="0">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2011届</c:v>
                </c:pt>
                <c:pt idx="1">
                  <c:v>2012届</c:v>
                </c:pt>
                <c:pt idx="2">
                  <c:v>2013届</c:v>
                </c:pt>
                <c:pt idx="3">
                  <c:v>2014届</c:v>
                </c:pt>
                <c:pt idx="4">
                  <c:v>2015届</c:v>
                </c:pt>
                <c:pt idx="5">
                  <c:v>2016届</c:v>
                </c:pt>
                <c:pt idx="6">
                  <c:v>2017届</c:v>
                </c:pt>
                <c:pt idx="7">
                  <c:v>2018届</c:v>
                </c:pt>
              </c:strCache>
            </c:strRef>
          </c:cat>
          <c:val>
            <c:numRef>
              <c:f>Sheet1!$B$2:$I$2</c:f>
              <c:numCache>
                <c:formatCode>General</c:formatCode>
                <c:ptCount val="8"/>
              </c:numCache>
            </c:numRef>
          </c:val>
          <c:smooth val="0"/>
        </c:ser>
        <c:ser>
          <c:idx val="1"/>
          <c:order val="1"/>
          <c:tx>
            <c:strRef>
              <c:f>Sheet1!$A$3</c:f>
              <c:strCache>
                <c:ptCount val="1"/>
                <c:pt idx="0">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2011届</c:v>
                </c:pt>
                <c:pt idx="1">
                  <c:v>2012届</c:v>
                </c:pt>
                <c:pt idx="2">
                  <c:v>2013届</c:v>
                </c:pt>
                <c:pt idx="3">
                  <c:v>2014届</c:v>
                </c:pt>
                <c:pt idx="4">
                  <c:v>2015届</c:v>
                </c:pt>
                <c:pt idx="5">
                  <c:v>2016届</c:v>
                </c:pt>
                <c:pt idx="6">
                  <c:v>2017届</c:v>
                </c:pt>
                <c:pt idx="7">
                  <c:v>2018届</c:v>
                </c:pt>
              </c:strCache>
            </c:strRef>
          </c:cat>
          <c:val>
            <c:numRef>
              <c:f>Sheet1!$B$3:$I$3</c:f>
              <c:numCache>
                <c:formatCode>General</c:formatCode>
                <c:ptCount val="8"/>
              </c:numCache>
            </c:numRef>
          </c:val>
          <c:smooth val="0"/>
        </c:ser>
        <c:ser>
          <c:idx val="2"/>
          <c:order val="2"/>
          <c:tx>
            <c:strRef>
              <c:f>Sheet1!$A$4</c:f>
              <c:strCache>
                <c:ptCount val="1"/>
                <c:pt idx="0">
                  <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2011届</c:v>
                </c:pt>
                <c:pt idx="1">
                  <c:v>2012届</c:v>
                </c:pt>
                <c:pt idx="2">
                  <c:v>2013届</c:v>
                </c:pt>
                <c:pt idx="3">
                  <c:v>2014届</c:v>
                </c:pt>
                <c:pt idx="4">
                  <c:v>2015届</c:v>
                </c:pt>
                <c:pt idx="5">
                  <c:v>2016届</c:v>
                </c:pt>
                <c:pt idx="6">
                  <c:v>2017届</c:v>
                </c:pt>
                <c:pt idx="7">
                  <c:v>2018届</c:v>
                </c:pt>
              </c:strCache>
            </c:strRef>
          </c:cat>
          <c:val>
            <c:numRef>
              <c:f>Sheet1!$B$4:$I$4</c:f>
              <c:numCache>
                <c:formatCode>General</c:formatCode>
                <c:ptCount val="8"/>
              </c:numCache>
            </c:numRef>
          </c:val>
          <c:smooth val="0"/>
        </c:ser>
        <c:ser>
          <c:idx val="3"/>
          <c:order val="3"/>
          <c:tx>
            <c:strRef>
              <c:f>Sheet1!$A$5</c:f>
              <c:strCache>
                <c:ptCount val="1"/>
                <c:pt idx="0">
                  <c:v>内蒙古自治区高职院校中位数</c:v>
                </c:pt>
              </c:strCache>
            </c:strRef>
          </c:tx>
          <c:spPr>
            <a:ln w="28575" cap="rnd">
              <a:solidFill>
                <a:schemeClr val="accent4"/>
              </a:solidFill>
              <a:round/>
            </a:ln>
            <a:effectLst/>
          </c:spPr>
          <c:marker>
            <c:symbol val="none"/>
          </c:marker>
          <c:dLbls>
            <c:dLbl>
              <c:idx val="2"/>
              <c:layout>
                <c:manualLayout>
                  <c:x val="-0.0529075841200081"/>
                  <c:y val="0.04337453174390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2011届</c:v>
                </c:pt>
                <c:pt idx="1">
                  <c:v>2012届</c:v>
                </c:pt>
                <c:pt idx="2">
                  <c:v>2013届</c:v>
                </c:pt>
                <c:pt idx="3">
                  <c:v>2014届</c:v>
                </c:pt>
                <c:pt idx="4">
                  <c:v>2015届</c:v>
                </c:pt>
                <c:pt idx="5">
                  <c:v>2016届</c:v>
                </c:pt>
                <c:pt idx="6">
                  <c:v>2017届</c:v>
                </c:pt>
                <c:pt idx="7">
                  <c:v>2018届</c:v>
                </c:pt>
              </c:strCache>
            </c:strRef>
          </c:cat>
          <c:val>
            <c:numRef>
              <c:f>Sheet1!$B$5:$I$5</c:f>
              <c:numCache>
                <c:formatCode>General</c:formatCode>
                <c:ptCount val="8"/>
                <c:pt idx="0">
                  <c:v>0.947</c:v>
                </c:pt>
                <c:pt idx="1">
                  <c:v>0.9483</c:v>
                </c:pt>
                <c:pt idx="2">
                  <c:v>0.9585</c:v>
                </c:pt>
                <c:pt idx="3">
                  <c:v>0.9465</c:v>
                </c:pt>
                <c:pt idx="4">
                  <c:v>0.9391</c:v>
                </c:pt>
                <c:pt idx="5">
                  <c:v>0.9397</c:v>
                </c:pt>
                <c:pt idx="6">
                  <c:v>0.9515</c:v>
                </c:pt>
                <c:pt idx="7">
                  <c:v>0.9502</c:v>
                </c:pt>
              </c:numCache>
            </c:numRef>
          </c:val>
          <c:smooth val="0"/>
        </c:ser>
        <c:ser>
          <c:idx val="4"/>
          <c:order val="4"/>
          <c:tx>
            <c:strRef>
              <c:f>Sheet1!$A$6</c:f>
              <c:strCache>
                <c:ptCount val="1"/>
                <c:pt idx="0">
                  <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2011届</c:v>
                </c:pt>
                <c:pt idx="1">
                  <c:v>2012届</c:v>
                </c:pt>
                <c:pt idx="2">
                  <c:v>2013届</c:v>
                </c:pt>
                <c:pt idx="3">
                  <c:v>2014届</c:v>
                </c:pt>
                <c:pt idx="4">
                  <c:v>2015届</c:v>
                </c:pt>
                <c:pt idx="5">
                  <c:v>2016届</c:v>
                </c:pt>
                <c:pt idx="6">
                  <c:v>2017届</c:v>
                </c:pt>
                <c:pt idx="7">
                  <c:v>2018届</c:v>
                </c:pt>
              </c:strCache>
            </c:strRef>
          </c:cat>
          <c:val>
            <c:numRef>
              <c:f>Sheet1!$B$6:$I$6</c:f>
              <c:numCache>
                <c:formatCode>General</c:formatCode>
                <c:ptCount val="8"/>
              </c:numCache>
            </c:numRef>
          </c:val>
          <c:smooth val="0"/>
        </c:ser>
        <c:ser>
          <c:idx val="5"/>
          <c:order val="5"/>
          <c:tx>
            <c:strRef>
              <c:f>Sheet1!$A$7</c:f>
              <c:strCache>
                <c:ptCount val="1"/>
                <c:pt idx="0">
                  <c:v>通辽职业学院</c:v>
                </c:pt>
              </c:strCache>
            </c:strRef>
          </c:tx>
          <c:spPr>
            <a:ln w="28575" cap="rnd">
              <a:solidFill>
                <a:schemeClr val="accent6"/>
              </a:solidFill>
              <a:round/>
            </a:ln>
            <a:effectLst/>
          </c:spPr>
          <c:marker>
            <c:symbol val="none"/>
          </c:marker>
          <c:dLbls>
            <c:dLbl>
              <c:idx val="1"/>
              <c:layout>
                <c:manualLayout>
                  <c:x val="-0.0432759924994929"/>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504996862148793"/>
                  <c:y val="-0.03505684080511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64207071635912"/>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32759924994928"/>
                  <c:y val="0.03511859779137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Sheet1!$B$1:$I$1</c:f>
              <c:strCache>
                <c:ptCount val="8"/>
                <c:pt idx="0">
                  <c:v>2011届</c:v>
                </c:pt>
                <c:pt idx="1">
                  <c:v>2012届</c:v>
                </c:pt>
                <c:pt idx="2">
                  <c:v>2013届</c:v>
                </c:pt>
                <c:pt idx="3">
                  <c:v>2014届</c:v>
                </c:pt>
                <c:pt idx="4">
                  <c:v>2015届</c:v>
                </c:pt>
                <c:pt idx="5">
                  <c:v>2016届</c:v>
                </c:pt>
                <c:pt idx="6">
                  <c:v>2017届</c:v>
                </c:pt>
                <c:pt idx="7">
                  <c:v>2018届</c:v>
                </c:pt>
              </c:strCache>
            </c:strRef>
          </c:cat>
          <c:val>
            <c:numRef>
              <c:f>Sheet1!$B$7:$I$7</c:f>
              <c:numCache>
                <c:formatCode>General</c:formatCode>
                <c:ptCount val="8"/>
                <c:pt idx="0">
                  <c:v>0.9046</c:v>
                </c:pt>
                <c:pt idx="1">
                  <c:v>0.9398</c:v>
                </c:pt>
                <c:pt idx="2">
                  <c:v>0.9596</c:v>
                </c:pt>
                <c:pt idx="3">
                  <c:v>0.9032</c:v>
                </c:pt>
                <c:pt idx="4">
                  <c:v>0.8387</c:v>
                </c:pt>
                <c:pt idx="5">
                  <c:v>0.9296</c:v>
                </c:pt>
                <c:pt idx="6">
                  <c:v>0.9512</c:v>
                </c:pt>
                <c:pt idx="7">
                  <c:v>0.983</c:v>
                </c:pt>
              </c:numCache>
            </c:numRef>
          </c:val>
          <c:smooth val="0"/>
        </c:ser>
        <c:dLbls>
          <c:showLegendKey val="0"/>
          <c:showVal val="1"/>
          <c:showCatName val="0"/>
          <c:showSerName val="0"/>
          <c:showPercent val="0"/>
          <c:showBubbleSize val="0"/>
        </c:dLbls>
        <c:marker val="0"/>
        <c:smooth val="0"/>
        <c:axId val="-808070272"/>
        <c:axId val="-808066464"/>
      </c:lineChart>
      <c:catAx>
        <c:axId val="-80807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8066464"/>
        <c:crosses val="autoZero"/>
        <c:auto val="1"/>
        <c:lblAlgn val="ctr"/>
        <c:lblOffset val="100"/>
        <c:noMultiLvlLbl val="0"/>
      </c:catAx>
      <c:valAx>
        <c:axId val="-80806646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8070272"/>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4"/>
        <c:delete val="1"/>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lineChart>
        <c:grouping val="standard"/>
        <c:varyColors val="0"/>
        <c:ser>
          <c:idx val="0"/>
          <c:order val="0"/>
          <c:tx>
            <c:strRef>
              <c:f>Sheet1!$B$1</c:f>
              <c:strCache>
                <c:ptCount val="1"/>
                <c:pt idx="0">
                  <c:v>专业相关度</c:v>
                </c:pt>
              </c:strCache>
            </c:strRef>
          </c:tx>
          <c:spPr>
            <a:ln w="28575" cap="rnd">
              <a:solidFill>
                <a:schemeClr val="accent1"/>
              </a:solidFill>
              <a:round/>
            </a:ln>
            <a:effectLst/>
          </c:spPr>
          <c:marker>
            <c:symbol val="none"/>
          </c:marker>
          <c:dLbls>
            <c:dLbl>
              <c:idx val="0"/>
              <c:layout>
                <c:manualLayout>
                  <c:x val="-0.0216710811461594"/>
                  <c:y val="-0.041279669762641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63159162051529"/>
                  <c:y val="-0.0206398348813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2016届</c:v>
                </c:pt>
                <c:pt idx="1">
                  <c:v>2017届</c:v>
                </c:pt>
                <c:pt idx="2">
                  <c:v>2018届</c:v>
                </c:pt>
              </c:strCache>
            </c:strRef>
          </c:cat>
          <c:val>
            <c:numRef>
              <c:f>Sheet1!$B$2:$B$4</c:f>
              <c:numCache>
                <c:formatCode>0.00%</c:formatCode>
                <c:ptCount val="3"/>
                <c:pt idx="0">
                  <c:v>0.7793</c:v>
                </c:pt>
                <c:pt idx="1">
                  <c:v>0.7378</c:v>
                </c:pt>
                <c:pt idx="2">
                  <c:v>0.6117</c:v>
                </c:pt>
              </c:numCache>
            </c:numRef>
          </c:val>
          <c:smooth val="0"/>
        </c:ser>
        <c:dLbls>
          <c:showLegendKey val="0"/>
          <c:showVal val="0"/>
          <c:showCatName val="0"/>
          <c:showSerName val="0"/>
          <c:showPercent val="0"/>
          <c:showBubbleSize val="0"/>
        </c:dLbls>
        <c:marker val="0"/>
        <c:smooth val="0"/>
        <c:axId val="-702358624"/>
        <c:axId val="-702364608"/>
      </c:lineChart>
      <c:catAx>
        <c:axId val="-7023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64608"/>
        <c:crosses val="autoZero"/>
        <c:auto val="1"/>
        <c:lblAlgn val="ctr"/>
        <c:lblOffset val="100"/>
        <c:noMultiLvlLbl val="0"/>
      </c:catAx>
      <c:valAx>
        <c:axId val="-7023646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5862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en-US"/>
              <a:t>雇主满意度</a:t>
            </a:r>
            <a:endParaRPr lang="zh-CN" altLang="en-US"/>
          </a:p>
        </c:rich>
      </c:tx>
      <c:layout/>
      <c:overlay val="0"/>
      <c:spPr>
        <a:noFill/>
        <a:ln>
          <a:noFill/>
        </a:ln>
        <a:effectLst/>
      </c:spPr>
    </c:title>
    <c:autoTitleDeleted val="0"/>
    <c:plotArea>
      <c:layout/>
      <c:lineChart>
        <c:grouping val="standard"/>
        <c:varyColors val="0"/>
        <c:ser>
          <c:idx val="0"/>
          <c:order val="0"/>
          <c:tx>
            <c:strRef>
              <c:f>Sheet1!$B$1</c:f>
              <c:strCache>
                <c:ptCount val="1"/>
                <c:pt idx="0">
                  <c:v>雇主满意度</c:v>
                </c:pt>
              </c:strCache>
            </c:strRef>
          </c:tx>
          <c:spPr>
            <a:ln w="28575" cap="rnd">
              <a:solidFill>
                <a:schemeClr val="accent1"/>
              </a:solidFill>
              <a:round/>
            </a:ln>
            <a:effectLst/>
          </c:spPr>
          <c:marker>
            <c:symbol val="none"/>
          </c:marker>
          <c:dLbls>
            <c:dLbl>
              <c:idx val="0"/>
              <c:layout>
                <c:manualLayout>
                  <c:x val="-0.0457500601974476"/>
                  <c:y val="-0.05366357069143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963159162051529"/>
                  <c:y val="-0.02063983488132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2016届</c:v>
                </c:pt>
                <c:pt idx="1">
                  <c:v>2017届</c:v>
                </c:pt>
                <c:pt idx="2">
                  <c:v>2018届</c:v>
                </c:pt>
              </c:strCache>
            </c:strRef>
          </c:cat>
          <c:val>
            <c:numRef>
              <c:f>Sheet1!$B$2:$B$4</c:f>
              <c:numCache>
                <c:formatCode>0.00%</c:formatCode>
                <c:ptCount val="3"/>
                <c:pt idx="0">
                  <c:v>0.9768</c:v>
                </c:pt>
                <c:pt idx="1">
                  <c:v>0.9826</c:v>
                </c:pt>
                <c:pt idx="2">
                  <c:v>0.9967</c:v>
                </c:pt>
              </c:numCache>
            </c:numRef>
          </c:val>
          <c:smooth val="0"/>
        </c:ser>
        <c:dLbls>
          <c:showLegendKey val="0"/>
          <c:showVal val="0"/>
          <c:showCatName val="0"/>
          <c:showSerName val="0"/>
          <c:showPercent val="0"/>
          <c:showBubbleSize val="0"/>
        </c:dLbls>
        <c:marker val="0"/>
        <c:smooth val="0"/>
        <c:axId val="-702364064"/>
        <c:axId val="-702356448"/>
      </c:lineChart>
      <c:catAx>
        <c:axId val="-702364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56448"/>
        <c:crosses val="autoZero"/>
        <c:auto val="1"/>
        <c:lblAlgn val="ctr"/>
        <c:lblOffset val="100"/>
        <c:noMultiLvlLbl val="0"/>
      </c:catAx>
      <c:valAx>
        <c:axId val="-7023564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640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4910519101077"/>
          <c:y val="0.0454076367389061"/>
          <c:w val="0.893837866943733"/>
          <c:h val="0.700934968268285"/>
        </c:manualLayout>
      </c:layout>
      <c:lineChart>
        <c:grouping val="standard"/>
        <c:varyColors val="0"/>
        <c:ser>
          <c:idx val="0"/>
          <c:order val="0"/>
          <c:tx>
            <c:strRef>
              <c:f>Sheet1!$A$2</c:f>
              <c:strCache>
                <c:ptCount val="1"/>
                <c:pt idx="0">
                  <c:v>国家骨干及省示范中位数</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448350589934987"/>
                  <c:y val="-0.010289038947530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pt idx="0">
                  <c:v>3136</c:v>
                </c:pt>
                <c:pt idx="1">
                  <c:v>3106</c:v>
                </c:pt>
                <c:pt idx="2">
                  <c:v>3106</c:v>
                </c:pt>
                <c:pt idx="3">
                  <c:v>3147</c:v>
                </c:pt>
                <c:pt idx="4">
                  <c:v>3162</c:v>
                </c:pt>
                <c:pt idx="5">
                  <c:v>3210.5</c:v>
                </c:pt>
                <c:pt idx="6">
                  <c:v>3331</c:v>
                </c:pt>
                <c:pt idx="7">
                  <c:v>3566</c:v>
                </c:pt>
              </c:numCache>
            </c:numRef>
          </c:val>
          <c:smooth val="0"/>
        </c:ser>
        <c:ser>
          <c:idx val="1"/>
          <c:order val="1"/>
          <c:tx>
            <c:strRef>
              <c:f>Sheet1!$A$3</c:f>
              <c:strCache>
                <c:ptCount val="1"/>
                <c:pt idx="0">
                  <c:v>国家示范中位数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482423293283861"/>
                  <c:y val="-0.0433127747576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48350589934987"/>
                  <c:y val="-0.08872041149655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pt idx="0">
                  <c:v>3166.5</c:v>
                </c:pt>
                <c:pt idx="1">
                  <c:v>3150</c:v>
                </c:pt>
                <c:pt idx="2">
                  <c:v>4083</c:v>
                </c:pt>
                <c:pt idx="3">
                  <c:v>4326</c:v>
                </c:pt>
                <c:pt idx="4">
                  <c:v>4215.5</c:v>
                </c:pt>
                <c:pt idx="5">
                  <c:v>4384.5</c:v>
                </c:pt>
                <c:pt idx="6">
                  <c:v>4508</c:v>
                </c:pt>
                <c:pt idx="7">
                  <c:v>4602</c:v>
                </c:pt>
              </c:numCache>
            </c:numRef>
          </c:val>
          <c:smooth val="0"/>
        </c:ser>
        <c:ser>
          <c:idx val="2"/>
          <c:order val="2"/>
          <c:tx>
            <c:strRef>
              <c:f>Sheet1!$A$4</c:f>
              <c:strCache>
                <c:ptCount val="1"/>
                <c:pt idx="0">
                  <c:v>全国中位数</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0496508548037563"/>
                  <c:y val="0.01860672988631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82423293283861"/>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54660230437726"/>
                  <c:y val="0.02686266383884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24271610883699"/>
                  <c:y val="-0.018544972900059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871659041656634"/>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pt idx="0">
                  <c:v>2095</c:v>
                </c:pt>
                <c:pt idx="1">
                  <c:v>2145.5</c:v>
                </c:pt>
                <c:pt idx="2">
                  <c:v>2219</c:v>
                </c:pt>
                <c:pt idx="3">
                  <c:v>2355</c:v>
                </c:pt>
                <c:pt idx="4">
                  <c:v>2427</c:v>
                </c:pt>
                <c:pt idx="5">
                  <c:v>2429.5</c:v>
                </c:pt>
                <c:pt idx="6">
                  <c:v>2579</c:v>
                </c:pt>
                <c:pt idx="7">
                  <c:v>2785</c:v>
                </c:pt>
              </c:numCache>
            </c:numRef>
          </c:val>
          <c:smooth val="0"/>
        </c:ser>
        <c:ser>
          <c:idx val="3"/>
          <c:order val="3"/>
          <c:tx>
            <c:strRef>
              <c:f>Sheet1!$A$5</c:f>
              <c:strCache>
                <c:ptCount val="1"/>
                <c:pt idx="0">
                  <c:v>全区中位数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Sheet1!$B$5:$I$5</c:f>
              <c:numCache>
                <c:formatCode>General</c:formatCode>
                <c:ptCount val="8"/>
                <c:pt idx="0">
                  <c:v>972.5</c:v>
                </c:pt>
                <c:pt idx="1">
                  <c:v>926</c:v>
                </c:pt>
                <c:pt idx="2">
                  <c:v>1040.5</c:v>
                </c:pt>
                <c:pt idx="3">
                  <c:v>1207</c:v>
                </c:pt>
                <c:pt idx="4">
                  <c:v>1284.5</c:v>
                </c:pt>
                <c:pt idx="5">
                  <c:v>1284</c:v>
                </c:pt>
                <c:pt idx="6">
                  <c:v>1357</c:v>
                </c:pt>
                <c:pt idx="7">
                  <c:v>1550.5</c:v>
                </c:pt>
              </c:numCache>
            </c:numRef>
          </c:val>
          <c:smooth val="0"/>
        </c:ser>
        <c:ser>
          <c:idx val="4"/>
          <c:order val="4"/>
          <c:tx>
            <c:strRef>
              <c:f>Sheet1!$A$6</c:f>
              <c:strCache>
                <c:ptCount val="1"/>
                <c:pt idx="0">
                  <c:v>同类中位数</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6"/>
              <c:layout>
                <c:manualLayout>
                  <c:x val="-0.0424271610883699"/>
                  <c:y val="-0.03505684080511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52034673729834"/>
                  <c:y val="-0.02680090685258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Sheet1!$B$6:$I$6</c:f>
              <c:numCache>
                <c:formatCode>General</c:formatCode>
                <c:ptCount val="8"/>
                <c:pt idx="0">
                  <c:v>2278</c:v>
                </c:pt>
                <c:pt idx="1">
                  <c:v>2373.5</c:v>
                </c:pt>
                <c:pt idx="2">
                  <c:v>2501</c:v>
                </c:pt>
                <c:pt idx="3">
                  <c:v>2638.5</c:v>
                </c:pt>
                <c:pt idx="4">
                  <c:v>2698</c:v>
                </c:pt>
                <c:pt idx="5">
                  <c:v>2607.5</c:v>
                </c:pt>
                <c:pt idx="6">
                  <c:v>2799</c:v>
                </c:pt>
                <c:pt idx="7">
                  <c:v>3092</c:v>
                </c:pt>
              </c:numCache>
            </c:numRef>
          </c:val>
          <c:smooth val="0"/>
        </c:ser>
        <c:ser>
          <c:idx val="5"/>
          <c:order val="5"/>
          <c:tx>
            <c:strRef>
              <c:f>Sheet1!$A$7</c:f>
              <c:strCache>
                <c:ptCount val="1"/>
                <c:pt idx="0">
                  <c:v>学院</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0785456296653022"/>
                  <c:y val="-0.01441700592379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9402841319528"/>
                  <c:y val="-0.03918480778138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52034673729834"/>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0019263183241"/>
                  <c:y val="0.01860672988631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24271610883699"/>
                  <c:y val="0.006222828957525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68745485191427"/>
                  <c:y val="-0.0309288738288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00192631832411"/>
                  <c:y val="0.0309906308151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390079460630869"/>
                  <c:y val="-0.02267293987632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Sheet1!$B$7:$I$7</c:f>
              <c:numCache>
                <c:formatCode>General</c:formatCode>
                <c:ptCount val="8"/>
                <c:pt idx="0">
                  <c:v>2194</c:v>
                </c:pt>
                <c:pt idx="1">
                  <c:v>2204</c:v>
                </c:pt>
                <c:pt idx="2">
                  <c:v>2181</c:v>
                </c:pt>
                <c:pt idx="3">
                  <c:v>2305</c:v>
                </c:pt>
                <c:pt idx="4">
                  <c:v>2305</c:v>
                </c:pt>
                <c:pt idx="5">
                  <c:v>2476</c:v>
                </c:pt>
                <c:pt idx="6">
                  <c:v>2444</c:v>
                </c:pt>
                <c:pt idx="7">
                  <c:v>2876</c:v>
                </c:pt>
              </c:numCache>
            </c:numRef>
          </c:val>
          <c:smooth val="0"/>
        </c:ser>
        <c:dLbls>
          <c:showLegendKey val="0"/>
          <c:showVal val="1"/>
          <c:showCatName val="0"/>
          <c:showSerName val="0"/>
          <c:showPercent val="0"/>
          <c:showBubbleSize val="0"/>
        </c:dLbls>
        <c:marker val="1"/>
        <c:smooth val="0"/>
        <c:axId val="-702361344"/>
        <c:axId val="-702355904"/>
      </c:lineChart>
      <c:catAx>
        <c:axId val="-702361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55904"/>
        <c:crosses val="autoZero"/>
        <c:auto val="1"/>
        <c:lblAlgn val="ctr"/>
        <c:lblOffset val="100"/>
        <c:noMultiLvlLbl val="0"/>
      </c:catAx>
      <c:valAx>
        <c:axId val="-702355904"/>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61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844910519101077"/>
          <c:y val="0.0454076367389061"/>
          <c:w val="0.893837866943733"/>
          <c:h val="0.700934968268285"/>
        </c:manualLayout>
      </c:layout>
      <c:lineChart>
        <c:grouping val="standard"/>
        <c:varyColors val="0"/>
        <c:ser>
          <c:idx val="0"/>
          <c:order val="0"/>
          <c:tx>
            <c:strRef>
              <c:f>Sheet1!$A$2</c:f>
              <c:strCache>
                <c:ptCount val="1"/>
                <c:pt idx="0">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0448350589934987"/>
                  <c:y val="-0.0102890389475309"/>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Sheet1!$B$2:$I$2</c:f>
              <c:numCache>
                <c:formatCode>General</c:formatCode>
                <c:ptCount val="8"/>
              </c:numCache>
            </c:numRef>
          </c:val>
          <c:smooth val="0"/>
        </c:ser>
        <c:ser>
          <c:idx val="1"/>
          <c:order val="1"/>
          <c:tx>
            <c:strRef>
              <c:f>Sheet1!$A$3</c:f>
              <c:strCache>
                <c:ptCount val="1"/>
                <c:pt idx="0">
                  <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482423293283861"/>
                  <c:y val="-0.043312774757644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48350589934987"/>
                  <c:y val="-0.088720411496550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Sheet1!$B$3:$I$3</c:f>
              <c:numCache>
                <c:formatCode>General</c:formatCode>
                <c:ptCount val="8"/>
              </c:numCache>
            </c:numRef>
          </c:val>
          <c:smooth val="0"/>
        </c:ser>
        <c:ser>
          <c:idx val="2"/>
          <c:order val="2"/>
          <c:tx>
            <c:strRef>
              <c:f>Sheet1!$A$4</c:f>
              <c:strCache>
                <c:ptCount val="1"/>
                <c:pt idx="0">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0.0496508548037563"/>
                  <c:y val="0.018606729886318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482423293283861"/>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54660230437726"/>
                  <c:y val="0.026862663838846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24271610883699"/>
                  <c:y val="-0.018544972900059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871659041656634"/>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Sheet1!$B$4:$I$4</c:f>
              <c:numCache>
                <c:formatCode>General</c:formatCode>
                <c:ptCount val="8"/>
              </c:numCache>
            </c:numRef>
          </c:val>
          <c:smooth val="0"/>
        </c:ser>
        <c:ser>
          <c:idx val="3"/>
          <c:order val="3"/>
          <c:tx>
            <c:strRef>
              <c:f>Sheet1!$A$5</c:f>
              <c:strCache>
                <c:ptCount val="1"/>
                <c:pt idx="0">
                  <c:v>全区中位数</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Sheet1!$B$5:$I$5</c:f>
              <c:numCache>
                <c:formatCode>General</c:formatCode>
                <c:ptCount val="8"/>
                <c:pt idx="0">
                  <c:v>972.5</c:v>
                </c:pt>
                <c:pt idx="1">
                  <c:v>926</c:v>
                </c:pt>
                <c:pt idx="2">
                  <c:v>1040.5</c:v>
                </c:pt>
                <c:pt idx="3">
                  <c:v>1207</c:v>
                </c:pt>
                <c:pt idx="4">
                  <c:v>1284.5</c:v>
                </c:pt>
                <c:pt idx="5">
                  <c:v>1284</c:v>
                </c:pt>
                <c:pt idx="6">
                  <c:v>1357</c:v>
                </c:pt>
                <c:pt idx="7">
                  <c:v>1550.5</c:v>
                </c:pt>
              </c:numCache>
            </c:numRef>
          </c:val>
          <c:smooth val="0"/>
        </c:ser>
        <c:ser>
          <c:idx val="4"/>
          <c:order val="4"/>
          <c:tx>
            <c:strRef>
              <c:f>Sheet1!$A$6</c:f>
              <c:strCache>
                <c:ptCount val="1"/>
                <c:pt idx="0">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Lbl>
              <c:idx val="6"/>
              <c:layout>
                <c:manualLayout>
                  <c:x val="-0.0424271610883699"/>
                  <c:y val="-0.035056840805116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352034673729834"/>
                  <c:y val="-0.0268009068525877"/>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Sheet1!$B$6:$I$6</c:f>
              <c:numCache>
                <c:formatCode>General</c:formatCode>
                <c:ptCount val="8"/>
              </c:numCache>
            </c:numRef>
          </c:val>
          <c:smooth val="0"/>
        </c:ser>
        <c:ser>
          <c:idx val="5"/>
          <c:order val="5"/>
          <c:tx>
            <c:strRef>
              <c:f>Sheet1!$A$7</c:f>
              <c:strCache>
                <c:ptCount val="1"/>
                <c:pt idx="0">
                  <c:v>学院</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dLbls>
            <c:dLbl>
              <c:idx val="0"/>
              <c:layout>
                <c:manualLayout>
                  <c:x val="-0.0785456296653022"/>
                  <c:y val="-0.014417005923795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59402841319528"/>
                  <c:y val="-0.039184807781380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52034673729834"/>
                  <c:y val="0.0268626638388468"/>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0019263183241"/>
                  <c:y val="0.0186067298863183"/>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424271610883699"/>
                  <c:y val="0.00622282895752574"/>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68745485191427"/>
                  <c:y val="-0.03092887382885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00192631832411"/>
                  <c:y val="0.030990630815111"/>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390079460630869"/>
                  <c:y val="-0.0226729398763235"/>
                </c:manualLayout>
              </c:layout>
              <c:dLblPos val="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Sheet1!$B$1:$I$1</c:f>
              <c:numCache>
                <c:formatCode>General</c:formatCode>
                <c:ptCount val="8"/>
                <c:pt idx="0">
                  <c:v>2012</c:v>
                </c:pt>
                <c:pt idx="1">
                  <c:v>2013</c:v>
                </c:pt>
                <c:pt idx="2">
                  <c:v>2014</c:v>
                </c:pt>
                <c:pt idx="3">
                  <c:v>2015</c:v>
                </c:pt>
                <c:pt idx="4">
                  <c:v>2016</c:v>
                </c:pt>
                <c:pt idx="5">
                  <c:v>2017</c:v>
                </c:pt>
                <c:pt idx="6">
                  <c:v>2018</c:v>
                </c:pt>
                <c:pt idx="7">
                  <c:v>2019</c:v>
                </c:pt>
              </c:numCache>
            </c:numRef>
          </c:cat>
          <c:val>
            <c:numRef>
              <c:f>Sheet1!$B$7:$I$7</c:f>
              <c:numCache>
                <c:formatCode>General</c:formatCode>
                <c:ptCount val="8"/>
                <c:pt idx="0">
                  <c:v>2194</c:v>
                </c:pt>
                <c:pt idx="1">
                  <c:v>2204</c:v>
                </c:pt>
                <c:pt idx="2">
                  <c:v>2181</c:v>
                </c:pt>
                <c:pt idx="3">
                  <c:v>2305</c:v>
                </c:pt>
                <c:pt idx="4">
                  <c:v>2305</c:v>
                </c:pt>
                <c:pt idx="5">
                  <c:v>2476</c:v>
                </c:pt>
                <c:pt idx="6">
                  <c:v>2444</c:v>
                </c:pt>
                <c:pt idx="7">
                  <c:v>2876</c:v>
                </c:pt>
              </c:numCache>
            </c:numRef>
          </c:val>
          <c:smooth val="0"/>
        </c:ser>
        <c:dLbls>
          <c:showLegendKey val="0"/>
          <c:showVal val="1"/>
          <c:showCatName val="0"/>
          <c:showSerName val="0"/>
          <c:showPercent val="0"/>
          <c:showBubbleSize val="0"/>
        </c:dLbls>
        <c:marker val="1"/>
        <c:smooth val="0"/>
        <c:axId val="-702358080"/>
        <c:axId val="-702368416"/>
      </c:lineChart>
      <c:catAx>
        <c:axId val="-702358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68416"/>
        <c:crosses val="autoZero"/>
        <c:auto val="1"/>
        <c:lblAlgn val="ctr"/>
        <c:lblOffset val="100"/>
        <c:noMultiLvlLbl val="0"/>
      </c:catAx>
      <c:valAx>
        <c:axId val="-702368416"/>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58080"/>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legendEntry>
        <c:idx val="4"/>
        <c:delete val="1"/>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2016年</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社会培训</c:v>
                </c:pt>
                <c:pt idx="1">
                  <c:v>职业技能鉴定</c:v>
                </c:pt>
              </c:strCache>
            </c:strRef>
          </c:cat>
          <c:val>
            <c:numRef>
              <c:f>Sheet1!$B$2:$B$3</c:f>
              <c:numCache>
                <c:formatCode>General</c:formatCode>
                <c:ptCount val="2"/>
                <c:pt idx="0">
                  <c:v>5017</c:v>
                </c:pt>
                <c:pt idx="1">
                  <c:v>1069</c:v>
                </c:pt>
              </c:numCache>
            </c:numRef>
          </c:val>
        </c:ser>
        <c:ser>
          <c:idx val="1"/>
          <c:order val="1"/>
          <c:tx>
            <c:strRef>
              <c:f>Sheet1!$C$1</c:f>
              <c:strCache>
                <c:ptCount val="1"/>
                <c:pt idx="0">
                  <c:v>2017年</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社会培训</c:v>
                </c:pt>
                <c:pt idx="1">
                  <c:v>职业技能鉴定</c:v>
                </c:pt>
              </c:strCache>
            </c:strRef>
          </c:cat>
          <c:val>
            <c:numRef>
              <c:f>Sheet1!$C$2:$C$3</c:f>
              <c:numCache>
                <c:formatCode>General</c:formatCode>
                <c:ptCount val="2"/>
                <c:pt idx="0">
                  <c:v>7564</c:v>
                </c:pt>
                <c:pt idx="1">
                  <c:v>815</c:v>
                </c:pt>
              </c:numCache>
            </c:numRef>
          </c:val>
        </c:ser>
        <c:ser>
          <c:idx val="2"/>
          <c:order val="2"/>
          <c:tx>
            <c:strRef>
              <c:f>Sheet1!$D$1</c:f>
              <c:strCache>
                <c:ptCount val="1"/>
                <c:pt idx="0">
                  <c:v>2018年</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社会培训</c:v>
                </c:pt>
                <c:pt idx="1">
                  <c:v>职业技能鉴定</c:v>
                </c:pt>
              </c:strCache>
            </c:strRef>
          </c:cat>
          <c:val>
            <c:numRef>
              <c:f>Sheet1!$D$2:$D$3</c:f>
              <c:numCache>
                <c:formatCode>General</c:formatCode>
                <c:ptCount val="2"/>
                <c:pt idx="0">
                  <c:v>7364</c:v>
                </c:pt>
                <c:pt idx="1">
                  <c:v>304</c:v>
                </c:pt>
              </c:numCache>
            </c:numRef>
          </c:val>
        </c:ser>
        <c:dLbls>
          <c:showLegendKey val="0"/>
          <c:showVal val="0"/>
          <c:showCatName val="0"/>
          <c:showSerName val="0"/>
          <c:showPercent val="0"/>
          <c:showBubbleSize val="0"/>
        </c:dLbls>
        <c:gapWidth val="219"/>
        <c:overlap val="-27"/>
        <c:axId val="-702360256"/>
        <c:axId val="-702357536"/>
      </c:barChart>
      <c:catAx>
        <c:axId val="-70236025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57536"/>
        <c:crosses val="autoZero"/>
        <c:auto val="1"/>
        <c:lblAlgn val="ctr"/>
        <c:lblOffset val="100"/>
        <c:noMultiLvlLbl val="0"/>
      </c:catAx>
      <c:valAx>
        <c:axId val="-702357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23602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Info spid="_x0000_s1036"/>
    <customShpInfo spid="_x0000_s1039"/>
    <customShpInfo spid="_x0000_s103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E63C9B2-A5EE-49A4-8BB7-C92EAE84CD80}">
  <ds:schemaRefs/>
</ds:datastoreItem>
</file>

<file path=docProps/app.xml><?xml version="1.0" encoding="utf-8"?>
<Properties xmlns="http://schemas.openxmlformats.org/officeDocument/2006/extended-properties" xmlns:vt="http://schemas.openxmlformats.org/officeDocument/2006/docPropsVTypes">
  <Template>Normal.dotm</Template>
  <Pages>1</Pages>
  <Words>4657</Words>
  <Characters>26551</Characters>
  <Lines>221</Lines>
  <Paragraphs>62</Paragraphs>
  <TotalTime>329</TotalTime>
  <ScaleCrop>false</ScaleCrop>
  <LinksUpToDate>false</LinksUpToDate>
  <CharactersWithSpaces>31146</CharactersWithSpaces>
  <Application>WPS Office_11.3.0.8632_F1E327BC-269C-435d-A152-05C5408002CA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2019-12-20T06:45:00Z</dcterms:created>
  <dc:creator>戴 经纬</dc:creator>
  <cp:lastModifiedBy>Administrator</cp:lastModifiedBy>
  <cp:lastPrinted>2019-12-29T03:36:00Z</cp:lastPrinted>
  <dcterms:modified xsi:type="dcterms:W3CDTF">2019-12-31T01:43:25Z</dcterms:modified>
  <cp:revision>746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2052-11.3.0.8632</vt:lpwstr>
  </property>
</Properties>
</file>